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2B9D" w14:textId="41ADA8B3" w:rsidR="008F73C4" w:rsidRDefault="008F73C4" w:rsidP="00E63637">
      <w:pPr>
        <w:jc w:val="center"/>
        <w:rPr>
          <w:b/>
          <w:sz w:val="32"/>
          <w:szCs w:val="32"/>
          <w:lang w:val="pl-PL"/>
        </w:rPr>
      </w:pPr>
      <w:r w:rsidRPr="008237C0">
        <w:rPr>
          <w:noProof/>
          <w:sz w:val="24"/>
          <w:szCs w:val="24"/>
        </w:rPr>
        <w:drawing>
          <wp:inline distT="0" distB="0" distL="0" distR="0" wp14:anchorId="3E2DC580" wp14:editId="7CFE9D9B">
            <wp:extent cx="1840865" cy="707390"/>
            <wp:effectExtent l="0" t="0" r="6985" b="0"/>
            <wp:docPr id="98353368" name="Obraz 1" descr="Obraz zawierający Grafika, Czcionka, narzędzie,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3368" name="Obraz 1" descr="Obraz zawierający Grafika, Czcionka, narzędzie, typografi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707390"/>
                    </a:xfrm>
                    <a:prstGeom prst="rect">
                      <a:avLst/>
                    </a:prstGeom>
                    <a:noFill/>
                  </pic:spPr>
                </pic:pic>
              </a:graphicData>
            </a:graphic>
          </wp:inline>
        </w:drawing>
      </w:r>
    </w:p>
    <w:p w14:paraId="65106989" w14:textId="77777777" w:rsidR="008F73C4" w:rsidRDefault="008F73C4" w:rsidP="00E63637">
      <w:pPr>
        <w:jc w:val="center"/>
        <w:rPr>
          <w:b/>
          <w:sz w:val="32"/>
          <w:szCs w:val="32"/>
          <w:lang w:val="pl-PL"/>
        </w:rPr>
      </w:pPr>
    </w:p>
    <w:p w14:paraId="27C94BF0" w14:textId="624DFDD9" w:rsidR="00E10EED" w:rsidRPr="00E63637" w:rsidRDefault="00E10EED" w:rsidP="00E63637">
      <w:pPr>
        <w:jc w:val="center"/>
        <w:rPr>
          <w:b/>
          <w:sz w:val="32"/>
          <w:szCs w:val="32"/>
          <w:lang w:val="pl-PL"/>
        </w:rPr>
      </w:pPr>
      <w:proofErr w:type="spellStart"/>
      <w:r w:rsidRPr="00E63637">
        <w:rPr>
          <w:b/>
          <w:sz w:val="32"/>
          <w:szCs w:val="32"/>
          <w:lang w:val="pl-PL"/>
        </w:rPr>
        <w:t>Netskope</w:t>
      </w:r>
      <w:proofErr w:type="spellEnd"/>
      <w:r w:rsidRPr="00E63637">
        <w:rPr>
          <w:b/>
          <w:sz w:val="32"/>
          <w:szCs w:val="32"/>
          <w:lang w:val="pl-PL"/>
        </w:rPr>
        <w:t xml:space="preserve"> rozszerza strategiczny sojusz z Deloitte</w:t>
      </w:r>
    </w:p>
    <w:p w14:paraId="00000002" w14:textId="14088B0F" w:rsidR="001106F4" w:rsidRPr="00E63637" w:rsidRDefault="00E10EED" w:rsidP="00E63637">
      <w:pPr>
        <w:jc w:val="center"/>
        <w:rPr>
          <w:b/>
          <w:sz w:val="32"/>
          <w:szCs w:val="32"/>
          <w:lang w:val="pl-PL"/>
        </w:rPr>
      </w:pPr>
      <w:r w:rsidRPr="00E63637">
        <w:rPr>
          <w:b/>
          <w:sz w:val="32"/>
          <w:szCs w:val="32"/>
          <w:lang w:val="pl-PL"/>
        </w:rPr>
        <w:t xml:space="preserve">dołączając </w:t>
      </w:r>
      <w:r w:rsidR="00E63637">
        <w:rPr>
          <w:b/>
          <w:sz w:val="32"/>
          <w:szCs w:val="32"/>
          <w:lang w:val="pl-PL"/>
        </w:rPr>
        <w:t xml:space="preserve">swoje rozwiązania </w:t>
      </w:r>
      <w:r w:rsidRPr="00E63637">
        <w:rPr>
          <w:b/>
          <w:sz w:val="32"/>
          <w:szCs w:val="32"/>
          <w:lang w:val="pl-PL"/>
        </w:rPr>
        <w:t>do</w:t>
      </w:r>
      <w:r w:rsidR="00E63637">
        <w:rPr>
          <w:b/>
          <w:sz w:val="32"/>
          <w:szCs w:val="32"/>
          <w:lang w:val="pl-PL"/>
        </w:rPr>
        <w:t xml:space="preserve"> platformy</w:t>
      </w:r>
      <w:r w:rsidRPr="00E63637">
        <w:rPr>
          <w:b/>
          <w:sz w:val="32"/>
          <w:szCs w:val="32"/>
          <w:lang w:val="pl-PL"/>
        </w:rPr>
        <w:t xml:space="preserve"> MXDR </w:t>
      </w:r>
      <w:r w:rsidR="00E63637">
        <w:rPr>
          <w:b/>
          <w:sz w:val="32"/>
          <w:szCs w:val="32"/>
          <w:lang w:val="pl-PL"/>
        </w:rPr>
        <w:t>by D</w:t>
      </w:r>
      <w:r w:rsidRPr="00E63637">
        <w:rPr>
          <w:b/>
          <w:sz w:val="32"/>
          <w:szCs w:val="32"/>
          <w:lang w:val="pl-PL"/>
        </w:rPr>
        <w:t>eloitte</w:t>
      </w:r>
    </w:p>
    <w:p w14:paraId="00000003" w14:textId="77777777" w:rsidR="001106F4" w:rsidRPr="00673EDA" w:rsidRDefault="001106F4" w:rsidP="00673EDA">
      <w:pPr>
        <w:jc w:val="both"/>
        <w:rPr>
          <w:i/>
          <w:sz w:val="24"/>
          <w:szCs w:val="24"/>
          <w:lang w:val="pl-PL"/>
        </w:rPr>
      </w:pPr>
    </w:p>
    <w:p w14:paraId="00000005" w14:textId="4ACF77B3" w:rsidR="001106F4" w:rsidRPr="00673EDA" w:rsidRDefault="00000000" w:rsidP="00673EDA">
      <w:pPr>
        <w:jc w:val="both"/>
        <w:rPr>
          <w:b/>
          <w:sz w:val="24"/>
          <w:szCs w:val="24"/>
          <w:lang w:val="pl-PL"/>
        </w:rPr>
      </w:pPr>
      <w:r w:rsidRPr="00673EDA">
        <w:rPr>
          <w:b/>
          <w:sz w:val="24"/>
          <w:szCs w:val="24"/>
          <w:lang w:val="pl-PL"/>
        </w:rPr>
        <w:t xml:space="preserve">SANTA CLARA, </w:t>
      </w:r>
      <w:r w:rsidR="00305770" w:rsidRPr="00673EDA">
        <w:rPr>
          <w:b/>
          <w:sz w:val="24"/>
          <w:szCs w:val="24"/>
          <w:lang w:val="pl-PL"/>
        </w:rPr>
        <w:t>Kalifornia</w:t>
      </w:r>
      <w:r w:rsidRPr="00673EDA">
        <w:rPr>
          <w:b/>
          <w:sz w:val="24"/>
          <w:szCs w:val="24"/>
          <w:lang w:val="pl-PL"/>
        </w:rPr>
        <w:t xml:space="preserve"> – </w:t>
      </w:r>
      <w:proofErr w:type="spellStart"/>
      <w:r w:rsidR="00673EDA" w:rsidRPr="00673EDA">
        <w:rPr>
          <w:b/>
          <w:sz w:val="24"/>
          <w:szCs w:val="24"/>
          <w:lang w:val="pl-PL"/>
        </w:rPr>
        <w:t>Netskope</w:t>
      </w:r>
      <w:proofErr w:type="spellEnd"/>
      <w:r w:rsidR="00673EDA" w:rsidRPr="00673EDA">
        <w:rPr>
          <w:b/>
          <w:sz w:val="24"/>
          <w:szCs w:val="24"/>
          <w:lang w:val="pl-PL"/>
        </w:rPr>
        <w:t xml:space="preserve"> </w:t>
      </w:r>
      <w:r w:rsidR="00305770" w:rsidRPr="00673EDA">
        <w:rPr>
          <w:b/>
          <w:sz w:val="24"/>
          <w:szCs w:val="24"/>
          <w:lang w:val="pl-PL"/>
        </w:rPr>
        <w:t>lider w dziedzinie SASE (</w:t>
      </w:r>
      <w:proofErr w:type="spellStart"/>
      <w:r w:rsidR="00305770" w:rsidRPr="00673EDA">
        <w:rPr>
          <w:b/>
          <w:sz w:val="24"/>
          <w:szCs w:val="24"/>
          <w:lang w:val="pl-PL"/>
        </w:rPr>
        <w:t>Secure</w:t>
      </w:r>
      <w:proofErr w:type="spellEnd"/>
      <w:r w:rsidR="00305770" w:rsidRPr="00673EDA">
        <w:rPr>
          <w:b/>
          <w:sz w:val="24"/>
          <w:szCs w:val="24"/>
          <w:lang w:val="pl-PL"/>
        </w:rPr>
        <w:t xml:space="preserve"> Access Service Edge),</w:t>
      </w:r>
      <w:r w:rsidRPr="00673EDA">
        <w:rPr>
          <w:b/>
          <w:sz w:val="24"/>
          <w:szCs w:val="24"/>
          <w:lang w:val="pl-PL"/>
        </w:rPr>
        <w:t xml:space="preserve"> </w:t>
      </w:r>
      <w:r w:rsidR="00673EDA" w:rsidRPr="00673EDA">
        <w:rPr>
          <w:b/>
          <w:sz w:val="24"/>
          <w:szCs w:val="24"/>
          <w:lang w:val="pl-PL"/>
        </w:rPr>
        <w:t xml:space="preserve">oraz cyberbezpieczeństwa rozszerza swój dotychczasowy strategiczny sojusz z firmą Deloitte. Rozwiązania </w:t>
      </w:r>
      <w:proofErr w:type="spellStart"/>
      <w:r w:rsidR="00305770" w:rsidRPr="00673EDA">
        <w:rPr>
          <w:b/>
          <w:sz w:val="24"/>
          <w:szCs w:val="24"/>
          <w:lang w:val="pl-PL"/>
        </w:rPr>
        <w:t>Netskope</w:t>
      </w:r>
      <w:proofErr w:type="spellEnd"/>
      <w:r w:rsidR="00305770" w:rsidRPr="00673EDA">
        <w:rPr>
          <w:b/>
          <w:sz w:val="24"/>
          <w:szCs w:val="24"/>
          <w:lang w:val="pl-PL"/>
        </w:rPr>
        <w:t xml:space="preserve"> </w:t>
      </w:r>
      <w:r w:rsidR="00673EDA" w:rsidRPr="00673EDA">
        <w:rPr>
          <w:b/>
          <w:sz w:val="24"/>
          <w:szCs w:val="24"/>
          <w:lang w:val="pl-PL"/>
        </w:rPr>
        <w:t xml:space="preserve">zostały dodane do </w:t>
      </w:r>
      <w:r w:rsidR="00305770" w:rsidRPr="00673EDA">
        <w:rPr>
          <w:b/>
          <w:sz w:val="24"/>
          <w:szCs w:val="24"/>
          <w:lang w:val="pl-PL"/>
        </w:rPr>
        <w:t>platformy</w:t>
      </w:r>
      <w:r w:rsidR="00673EDA" w:rsidRPr="00673EDA">
        <w:rPr>
          <w:b/>
          <w:sz w:val="24"/>
          <w:szCs w:val="24"/>
          <w:lang w:val="pl-PL"/>
        </w:rPr>
        <w:t xml:space="preserve"> </w:t>
      </w:r>
      <w:proofErr w:type="spellStart"/>
      <w:r w:rsidR="00673EDA" w:rsidRPr="00673EDA">
        <w:rPr>
          <w:b/>
          <w:sz w:val="24"/>
          <w:szCs w:val="24"/>
          <w:lang w:val="pl-PL"/>
        </w:rPr>
        <w:t>Delotitte</w:t>
      </w:r>
      <w:proofErr w:type="spellEnd"/>
      <w:r w:rsidR="00673EDA" w:rsidRPr="00673EDA">
        <w:rPr>
          <w:b/>
          <w:sz w:val="24"/>
          <w:szCs w:val="24"/>
          <w:lang w:val="pl-PL"/>
        </w:rPr>
        <w:t xml:space="preserve"> </w:t>
      </w:r>
      <w:proofErr w:type="spellStart"/>
      <w:r w:rsidR="00673EDA" w:rsidRPr="00673EDA">
        <w:rPr>
          <w:b/>
          <w:sz w:val="24"/>
          <w:szCs w:val="24"/>
          <w:lang w:val="pl-PL"/>
        </w:rPr>
        <w:t>Manages</w:t>
      </w:r>
      <w:proofErr w:type="spellEnd"/>
      <w:r w:rsidR="00673EDA" w:rsidRPr="00673EDA">
        <w:rPr>
          <w:b/>
          <w:sz w:val="24"/>
          <w:szCs w:val="24"/>
          <w:lang w:val="pl-PL"/>
        </w:rPr>
        <w:t xml:space="preserve"> </w:t>
      </w:r>
      <w:proofErr w:type="spellStart"/>
      <w:r w:rsidR="00673EDA" w:rsidRPr="00673EDA">
        <w:rPr>
          <w:b/>
          <w:sz w:val="24"/>
          <w:szCs w:val="24"/>
          <w:lang w:val="pl-PL"/>
        </w:rPr>
        <w:t>Extented</w:t>
      </w:r>
      <w:proofErr w:type="spellEnd"/>
      <w:r w:rsidR="00673EDA" w:rsidRPr="00673EDA">
        <w:rPr>
          <w:b/>
          <w:sz w:val="24"/>
          <w:szCs w:val="24"/>
          <w:lang w:val="pl-PL"/>
        </w:rPr>
        <w:t xml:space="preserve"> </w:t>
      </w:r>
      <w:proofErr w:type="spellStart"/>
      <w:r w:rsidR="00673EDA" w:rsidRPr="00673EDA">
        <w:rPr>
          <w:b/>
          <w:sz w:val="24"/>
          <w:szCs w:val="24"/>
          <w:lang w:val="pl-PL"/>
        </w:rPr>
        <w:t>Detection</w:t>
      </w:r>
      <w:proofErr w:type="spellEnd"/>
      <w:r w:rsidR="00673EDA" w:rsidRPr="00673EDA">
        <w:rPr>
          <w:b/>
          <w:sz w:val="24"/>
          <w:szCs w:val="24"/>
          <w:lang w:val="pl-PL"/>
        </w:rPr>
        <w:t xml:space="preserve"> and </w:t>
      </w:r>
      <w:proofErr w:type="spellStart"/>
      <w:r w:rsidR="00673EDA" w:rsidRPr="00673EDA">
        <w:rPr>
          <w:b/>
          <w:sz w:val="24"/>
          <w:szCs w:val="24"/>
          <w:lang w:val="pl-PL"/>
        </w:rPr>
        <w:t>Response</w:t>
      </w:r>
      <w:proofErr w:type="spellEnd"/>
      <w:r w:rsidR="00673EDA" w:rsidRPr="00673EDA">
        <w:rPr>
          <w:b/>
          <w:sz w:val="24"/>
          <w:szCs w:val="24"/>
          <w:lang w:val="pl-PL"/>
        </w:rPr>
        <w:t xml:space="preserve"> (MXDR)</w:t>
      </w:r>
    </w:p>
    <w:p w14:paraId="192261F4" w14:textId="77777777" w:rsidR="00673EDA" w:rsidRPr="00673EDA" w:rsidRDefault="00673EDA" w:rsidP="00673EDA">
      <w:pPr>
        <w:jc w:val="both"/>
        <w:rPr>
          <w:sz w:val="24"/>
          <w:szCs w:val="24"/>
          <w:lang w:val="en-US"/>
        </w:rPr>
      </w:pPr>
    </w:p>
    <w:p w14:paraId="00000006" w14:textId="05AF6824" w:rsidR="001106F4" w:rsidRPr="00673EDA" w:rsidRDefault="007721F7" w:rsidP="00673EDA">
      <w:pPr>
        <w:jc w:val="both"/>
        <w:rPr>
          <w:sz w:val="24"/>
          <w:szCs w:val="24"/>
          <w:lang w:val="pl-PL"/>
        </w:rPr>
      </w:pPr>
      <w:r w:rsidRPr="00673EDA">
        <w:rPr>
          <w:sz w:val="24"/>
          <w:szCs w:val="24"/>
          <w:lang w:val="pl-PL"/>
        </w:rPr>
        <w:t xml:space="preserve">Nowy moduł </w:t>
      </w:r>
      <w:proofErr w:type="spellStart"/>
      <w:r w:rsidRPr="00673EDA">
        <w:rPr>
          <w:sz w:val="24"/>
          <w:szCs w:val="24"/>
          <w:lang w:val="pl-PL"/>
        </w:rPr>
        <w:t>Netskope</w:t>
      </w:r>
      <w:proofErr w:type="spellEnd"/>
      <w:r w:rsidRPr="00673EDA">
        <w:rPr>
          <w:sz w:val="24"/>
          <w:szCs w:val="24"/>
          <w:lang w:val="pl-PL"/>
        </w:rPr>
        <w:t xml:space="preserve"> w MXDR by Deloitte będzie wyposażony w zaawansowane funkcje ochrony przed zagrożeniami w chmurze, które pomogą klientom poprawić ochronę przed złośliwym oprogramowaniem i oprogramowaniem “</w:t>
      </w:r>
      <w:proofErr w:type="spellStart"/>
      <w:r w:rsidRPr="00673EDA">
        <w:rPr>
          <w:sz w:val="24"/>
          <w:szCs w:val="24"/>
          <w:lang w:val="pl-PL"/>
        </w:rPr>
        <w:t>ransomware</w:t>
      </w:r>
      <w:proofErr w:type="spellEnd"/>
      <w:r w:rsidRPr="00673EDA">
        <w:rPr>
          <w:sz w:val="24"/>
          <w:szCs w:val="24"/>
          <w:lang w:val="pl-PL"/>
        </w:rPr>
        <w:t>”, a także wzmocnią funkcje wykrywania i reagowania na zagrożenia typu “zero-</w:t>
      </w:r>
      <w:proofErr w:type="spellStart"/>
      <w:r w:rsidRPr="00673EDA">
        <w:rPr>
          <w:sz w:val="24"/>
          <w:szCs w:val="24"/>
          <w:lang w:val="pl-PL"/>
        </w:rPr>
        <w:t>day</w:t>
      </w:r>
      <w:proofErr w:type="spellEnd"/>
      <w:r w:rsidRPr="00673EDA">
        <w:rPr>
          <w:sz w:val="24"/>
          <w:szCs w:val="24"/>
          <w:lang w:val="pl-PL"/>
        </w:rPr>
        <w:t>”.</w:t>
      </w:r>
      <w:r w:rsidR="00673EDA" w:rsidRPr="00673EDA">
        <w:rPr>
          <w:sz w:val="24"/>
          <w:szCs w:val="24"/>
          <w:lang w:val="pl-PL"/>
        </w:rPr>
        <w:t xml:space="preserve"> </w:t>
      </w:r>
      <w:r w:rsidR="00673EDA" w:rsidRPr="00673EDA">
        <w:rPr>
          <w:sz w:val="24"/>
          <w:szCs w:val="24"/>
          <w:lang w:val="pl-PL"/>
        </w:rPr>
        <w:t>Ataki zero-</w:t>
      </w:r>
      <w:proofErr w:type="spellStart"/>
      <w:r w:rsidR="00673EDA" w:rsidRPr="00673EDA">
        <w:rPr>
          <w:sz w:val="24"/>
          <w:szCs w:val="24"/>
          <w:lang w:val="pl-PL"/>
        </w:rPr>
        <w:t>day</w:t>
      </w:r>
      <w:proofErr w:type="spellEnd"/>
      <w:r w:rsidR="00673EDA" w:rsidRPr="00673EDA">
        <w:rPr>
          <w:sz w:val="24"/>
          <w:szCs w:val="24"/>
          <w:lang w:val="pl-PL"/>
        </w:rPr>
        <w:t xml:space="preserve"> są jednymi z najbardziej niebezpiecznych zagrożeń w cyberprzestrzeni. Nazwa odnosi się do sytuacji, w której atakujący wykorzystuje luki w oprogramowaniu, które są nieznane producentowi jak i użytkownikom, pozwalając atakującemu na niemal natychmiastowe dostanie się do systemu ofiary.</w:t>
      </w:r>
    </w:p>
    <w:p w14:paraId="00000008" w14:textId="61A7EDBA" w:rsidR="001106F4" w:rsidRPr="00673EDA" w:rsidRDefault="001106F4" w:rsidP="00673EDA">
      <w:pPr>
        <w:jc w:val="both"/>
        <w:rPr>
          <w:sz w:val="24"/>
          <w:szCs w:val="24"/>
          <w:lang w:val="pl-PL"/>
        </w:rPr>
      </w:pPr>
    </w:p>
    <w:p w14:paraId="00000009" w14:textId="391A6837" w:rsidR="001106F4" w:rsidRPr="00673EDA" w:rsidRDefault="00673EDA" w:rsidP="00673EDA">
      <w:pPr>
        <w:jc w:val="both"/>
        <w:rPr>
          <w:sz w:val="24"/>
          <w:szCs w:val="24"/>
          <w:lang w:val="pl-PL"/>
        </w:rPr>
      </w:pPr>
      <w:r w:rsidRPr="00673EDA">
        <w:rPr>
          <w:sz w:val="24"/>
          <w:szCs w:val="24"/>
          <w:lang w:val="pl-PL"/>
        </w:rPr>
        <w:t xml:space="preserve">Rozwiązanie MXDR Deloitte </w:t>
      </w:r>
      <w:r w:rsidR="003A68A6" w:rsidRPr="00673EDA">
        <w:rPr>
          <w:sz w:val="24"/>
          <w:szCs w:val="24"/>
          <w:lang w:val="pl-PL"/>
        </w:rPr>
        <w:t xml:space="preserve">feruje klientom w pełni zarządzane rozwiązanie z zakresu cyberbezpieczeństwa, zaprojektowane w celu ochrony całego </w:t>
      </w:r>
      <w:r w:rsidR="00326048" w:rsidRPr="00673EDA">
        <w:rPr>
          <w:sz w:val="24"/>
          <w:szCs w:val="24"/>
          <w:lang w:val="pl-PL"/>
        </w:rPr>
        <w:t>rozproszonego systemu organizacji przed wewnętrznymi i zewnętrznymi</w:t>
      </w:r>
      <w:r w:rsidR="003A68A6" w:rsidRPr="00673EDA">
        <w:rPr>
          <w:sz w:val="24"/>
          <w:szCs w:val="24"/>
          <w:lang w:val="pl-PL"/>
        </w:rPr>
        <w:t xml:space="preserve"> </w:t>
      </w:r>
      <w:proofErr w:type="spellStart"/>
      <w:r w:rsidR="003A68A6" w:rsidRPr="00673EDA">
        <w:rPr>
          <w:sz w:val="24"/>
          <w:szCs w:val="24"/>
          <w:lang w:val="pl-PL"/>
        </w:rPr>
        <w:t>cyberzagrożeniami</w:t>
      </w:r>
      <w:proofErr w:type="spellEnd"/>
      <w:r w:rsidR="003A68A6" w:rsidRPr="00673EDA">
        <w:rPr>
          <w:sz w:val="24"/>
          <w:szCs w:val="24"/>
          <w:lang w:val="pl-PL"/>
        </w:rPr>
        <w:t xml:space="preserve"> poprzez działanie 24x7x365 w zakresie wyszukiwania, wykrywania, reagowania i usuwania </w:t>
      </w:r>
      <w:r w:rsidRPr="00673EDA">
        <w:rPr>
          <w:sz w:val="24"/>
          <w:szCs w:val="24"/>
          <w:lang w:val="pl-PL"/>
        </w:rPr>
        <w:t>ataków.</w:t>
      </w:r>
    </w:p>
    <w:p w14:paraId="0000000A" w14:textId="77777777" w:rsidR="001106F4" w:rsidRPr="00673EDA" w:rsidRDefault="001106F4" w:rsidP="00673EDA">
      <w:pPr>
        <w:spacing w:line="240" w:lineRule="auto"/>
        <w:jc w:val="both"/>
        <w:rPr>
          <w:i/>
          <w:iCs/>
          <w:sz w:val="24"/>
          <w:szCs w:val="24"/>
          <w:lang w:val="pl-PL"/>
        </w:rPr>
      </w:pPr>
    </w:p>
    <w:p w14:paraId="0000000B" w14:textId="5B9544EE" w:rsidR="001106F4" w:rsidRPr="00673EDA" w:rsidRDefault="00E74408" w:rsidP="00673EDA">
      <w:pPr>
        <w:jc w:val="both"/>
        <w:rPr>
          <w:b/>
          <w:bCs/>
          <w:sz w:val="24"/>
          <w:szCs w:val="24"/>
          <w:lang w:val="pl-PL"/>
        </w:rPr>
      </w:pPr>
      <w:r w:rsidRPr="00673EDA">
        <w:rPr>
          <w:i/>
          <w:iCs/>
          <w:sz w:val="24"/>
          <w:szCs w:val="24"/>
          <w:lang w:val="pl-PL"/>
        </w:rPr>
        <w:t>"Ponieważ poziom zagrożeń nadal szybko ewoluuje, chcemy zaoferować naszym obecnym i przyszłym klientom dostęp do rozszerzającego się portfolio zaawansowanych funkcji ochrony przed potencjalnymi atakami</w:t>
      </w:r>
      <w:r w:rsidR="00673EDA" w:rsidRPr="00673EDA">
        <w:rPr>
          <w:i/>
          <w:iCs/>
          <w:sz w:val="24"/>
          <w:szCs w:val="24"/>
          <w:lang w:val="pl-PL"/>
        </w:rPr>
        <w:t xml:space="preserve">. </w:t>
      </w:r>
      <w:r w:rsidR="00E138BF" w:rsidRPr="00673EDA">
        <w:rPr>
          <w:i/>
          <w:iCs/>
          <w:sz w:val="24"/>
          <w:szCs w:val="24"/>
          <w:lang w:val="pl-PL"/>
        </w:rPr>
        <w:t xml:space="preserve">Cieszymy się, że możemy rozszerzyć naszą współpracę z </w:t>
      </w:r>
      <w:proofErr w:type="spellStart"/>
      <w:r w:rsidR="00E138BF" w:rsidRPr="00673EDA">
        <w:rPr>
          <w:i/>
          <w:iCs/>
          <w:sz w:val="24"/>
          <w:szCs w:val="24"/>
          <w:lang w:val="pl-PL"/>
        </w:rPr>
        <w:t>Netskope</w:t>
      </w:r>
      <w:proofErr w:type="spellEnd"/>
      <w:r w:rsidR="00E138BF" w:rsidRPr="00673EDA">
        <w:rPr>
          <w:i/>
          <w:iCs/>
          <w:sz w:val="24"/>
          <w:szCs w:val="24"/>
          <w:lang w:val="pl-PL"/>
        </w:rPr>
        <w:t>, jak również naszą ofertę za pośrednictwem platformy MXDR by Deloitte, pomagając naszym klientom w budowaniu bardziej proaktywnej postawy obronnej w ich programach cybernetycznych - od strategii po wdrożenie i bieżącą optymalizacj</w:t>
      </w:r>
      <w:r w:rsidR="00744145" w:rsidRPr="00673EDA">
        <w:rPr>
          <w:i/>
          <w:iCs/>
          <w:sz w:val="24"/>
          <w:szCs w:val="24"/>
          <w:lang w:val="pl-PL"/>
        </w:rPr>
        <w:t>ę</w:t>
      </w:r>
      <w:r w:rsidR="00E138BF" w:rsidRPr="00673EDA">
        <w:rPr>
          <w:b/>
          <w:bCs/>
          <w:i/>
          <w:iCs/>
          <w:sz w:val="24"/>
          <w:szCs w:val="24"/>
          <w:lang w:val="pl-PL"/>
        </w:rPr>
        <w:t>."</w:t>
      </w:r>
      <w:r w:rsidR="00673EDA" w:rsidRPr="00673EDA">
        <w:rPr>
          <w:b/>
          <w:bCs/>
          <w:i/>
          <w:iCs/>
          <w:sz w:val="24"/>
          <w:szCs w:val="24"/>
          <w:lang w:val="pl-PL"/>
        </w:rPr>
        <w:t>-</w:t>
      </w:r>
      <w:r w:rsidR="00673EDA" w:rsidRPr="00673EDA">
        <w:rPr>
          <w:b/>
          <w:bCs/>
          <w:sz w:val="24"/>
          <w:szCs w:val="24"/>
          <w:lang w:val="pl-PL"/>
        </w:rPr>
        <w:t xml:space="preserve"> </w:t>
      </w:r>
      <w:r w:rsidR="00673EDA" w:rsidRPr="00673EDA">
        <w:rPr>
          <w:b/>
          <w:bCs/>
          <w:sz w:val="24"/>
          <w:szCs w:val="24"/>
          <w:lang w:val="pl-PL"/>
        </w:rPr>
        <w:t xml:space="preserve">powiedział </w:t>
      </w:r>
      <w:proofErr w:type="spellStart"/>
      <w:r w:rsidR="00673EDA" w:rsidRPr="00673EDA">
        <w:rPr>
          <w:b/>
          <w:bCs/>
          <w:sz w:val="24"/>
          <w:szCs w:val="24"/>
          <w:lang w:val="pl-PL"/>
        </w:rPr>
        <w:t>Criss</w:t>
      </w:r>
      <w:proofErr w:type="spellEnd"/>
      <w:r w:rsidR="00673EDA" w:rsidRPr="00673EDA">
        <w:rPr>
          <w:b/>
          <w:bCs/>
          <w:sz w:val="24"/>
          <w:szCs w:val="24"/>
          <w:lang w:val="pl-PL"/>
        </w:rPr>
        <w:t xml:space="preserve"> </w:t>
      </w:r>
      <w:proofErr w:type="spellStart"/>
      <w:r w:rsidR="00673EDA" w:rsidRPr="00673EDA">
        <w:rPr>
          <w:b/>
          <w:bCs/>
          <w:sz w:val="24"/>
          <w:szCs w:val="24"/>
          <w:lang w:val="pl-PL"/>
        </w:rPr>
        <w:t>Bradbury</w:t>
      </w:r>
      <w:proofErr w:type="spellEnd"/>
      <w:r w:rsidR="00673EDA" w:rsidRPr="00673EDA">
        <w:rPr>
          <w:b/>
          <w:bCs/>
          <w:sz w:val="24"/>
          <w:szCs w:val="24"/>
          <w:lang w:val="pl-PL"/>
        </w:rPr>
        <w:t xml:space="preserve">, Deloitte </w:t>
      </w:r>
      <w:proofErr w:type="spellStart"/>
      <w:r w:rsidR="00673EDA" w:rsidRPr="00673EDA">
        <w:rPr>
          <w:b/>
          <w:bCs/>
          <w:sz w:val="24"/>
          <w:szCs w:val="24"/>
          <w:lang w:val="pl-PL"/>
        </w:rPr>
        <w:t>Risk</w:t>
      </w:r>
      <w:proofErr w:type="spellEnd"/>
      <w:r w:rsidR="00673EDA" w:rsidRPr="00673EDA">
        <w:rPr>
          <w:b/>
          <w:bCs/>
          <w:sz w:val="24"/>
          <w:szCs w:val="24"/>
          <w:lang w:val="pl-PL"/>
        </w:rPr>
        <w:t xml:space="preserve"> &amp; Financial </w:t>
      </w:r>
      <w:proofErr w:type="spellStart"/>
      <w:r w:rsidR="00673EDA" w:rsidRPr="00673EDA">
        <w:rPr>
          <w:b/>
          <w:bCs/>
          <w:sz w:val="24"/>
          <w:szCs w:val="24"/>
          <w:lang w:val="pl-PL"/>
        </w:rPr>
        <w:t>Advisory</w:t>
      </w:r>
      <w:proofErr w:type="spellEnd"/>
      <w:r w:rsidR="00673EDA" w:rsidRPr="00673EDA">
        <w:rPr>
          <w:b/>
          <w:bCs/>
          <w:sz w:val="24"/>
          <w:szCs w:val="24"/>
          <w:lang w:val="pl-PL"/>
        </w:rPr>
        <w:t xml:space="preserve"> Principal, Deloitte &amp; </w:t>
      </w:r>
      <w:proofErr w:type="spellStart"/>
      <w:r w:rsidR="00673EDA" w:rsidRPr="00673EDA">
        <w:rPr>
          <w:b/>
          <w:bCs/>
          <w:sz w:val="24"/>
          <w:szCs w:val="24"/>
          <w:lang w:val="pl-PL"/>
        </w:rPr>
        <w:t>Touche</w:t>
      </w:r>
      <w:proofErr w:type="spellEnd"/>
      <w:r w:rsidR="00673EDA" w:rsidRPr="00673EDA">
        <w:rPr>
          <w:b/>
          <w:bCs/>
          <w:sz w:val="24"/>
          <w:szCs w:val="24"/>
          <w:lang w:val="pl-PL"/>
        </w:rPr>
        <w:t xml:space="preserve"> LLP.</w:t>
      </w:r>
    </w:p>
    <w:p w14:paraId="0000000C" w14:textId="77777777" w:rsidR="001106F4" w:rsidRPr="00673EDA" w:rsidRDefault="00000000" w:rsidP="00673EDA">
      <w:pPr>
        <w:jc w:val="both"/>
        <w:rPr>
          <w:sz w:val="24"/>
          <w:szCs w:val="24"/>
          <w:lang w:val="pl-PL"/>
        </w:rPr>
      </w:pPr>
      <w:r w:rsidRPr="00673EDA">
        <w:rPr>
          <w:sz w:val="24"/>
          <w:szCs w:val="24"/>
          <w:lang w:val="pl-PL"/>
        </w:rPr>
        <w:t xml:space="preserve"> </w:t>
      </w:r>
    </w:p>
    <w:p w14:paraId="0000000D" w14:textId="5A002BAD" w:rsidR="001106F4" w:rsidRPr="00673EDA" w:rsidRDefault="00B77715" w:rsidP="00673EDA">
      <w:pPr>
        <w:jc w:val="both"/>
        <w:rPr>
          <w:b/>
          <w:bCs/>
          <w:sz w:val="24"/>
          <w:szCs w:val="24"/>
          <w:lang w:val="pl-PL"/>
        </w:rPr>
      </w:pPr>
      <w:r w:rsidRPr="00673EDA">
        <w:rPr>
          <w:sz w:val="24"/>
          <w:szCs w:val="24"/>
          <w:lang w:val="pl-PL"/>
        </w:rPr>
        <w:t>"</w:t>
      </w:r>
      <w:r w:rsidR="00744145" w:rsidRPr="00673EDA">
        <w:rPr>
          <w:i/>
          <w:iCs/>
          <w:sz w:val="24"/>
          <w:szCs w:val="24"/>
          <w:lang w:val="pl-PL"/>
        </w:rPr>
        <w:t>Nasza współpraca z Deloitte pomaga zapewnić ochronę z zakresu cyberbezpieczeństwa, aby spełnić dzisiejsze wymagania transformacji cyfrowej - z uwzględnieniem ochrony wrażliwych danych w generatywnych aplikacjach SaaS opartych na sztucznej inteligencji</w:t>
      </w:r>
      <w:r w:rsidRPr="00673EDA">
        <w:rPr>
          <w:i/>
          <w:iCs/>
          <w:sz w:val="24"/>
          <w:szCs w:val="24"/>
          <w:lang w:val="pl-PL"/>
        </w:rPr>
        <w:t xml:space="preserve">". "Cieszymy się, że możemy dołączyć do listy </w:t>
      </w:r>
      <w:r w:rsidRPr="00673EDA">
        <w:rPr>
          <w:i/>
          <w:iCs/>
          <w:sz w:val="24"/>
          <w:szCs w:val="24"/>
          <w:lang w:val="pl-PL"/>
        </w:rPr>
        <w:lastRenderedPageBreak/>
        <w:t xml:space="preserve">największych organizacji zajmujących się m.in. usługami w chmurze i </w:t>
      </w:r>
      <w:proofErr w:type="spellStart"/>
      <w:r w:rsidRPr="00673EDA">
        <w:rPr>
          <w:i/>
          <w:iCs/>
          <w:sz w:val="24"/>
          <w:szCs w:val="24"/>
          <w:lang w:val="pl-PL"/>
        </w:rPr>
        <w:t>cyberbezpieczeństwem</w:t>
      </w:r>
      <w:proofErr w:type="spellEnd"/>
      <w:r w:rsidRPr="00673EDA">
        <w:rPr>
          <w:i/>
          <w:iCs/>
          <w:sz w:val="24"/>
          <w:szCs w:val="24"/>
          <w:lang w:val="pl-PL"/>
        </w:rPr>
        <w:t>, które składają się na platformę MXDR by Deloitte."</w:t>
      </w:r>
      <w:r w:rsidRPr="00673EDA">
        <w:rPr>
          <w:sz w:val="24"/>
          <w:szCs w:val="24"/>
          <w:lang w:val="pl-PL"/>
        </w:rPr>
        <w:t xml:space="preserve"> </w:t>
      </w:r>
      <w:r w:rsidR="00673EDA" w:rsidRPr="00673EDA">
        <w:rPr>
          <w:sz w:val="24"/>
          <w:szCs w:val="24"/>
          <w:lang w:val="pl-PL"/>
        </w:rPr>
        <w:t xml:space="preserve">- </w:t>
      </w:r>
      <w:r w:rsidR="00673EDA" w:rsidRPr="00673EDA">
        <w:rPr>
          <w:sz w:val="24"/>
          <w:szCs w:val="24"/>
          <w:lang w:val="pl-PL"/>
        </w:rPr>
        <w:t xml:space="preserve"> </w:t>
      </w:r>
      <w:r w:rsidR="00673EDA" w:rsidRPr="00673EDA">
        <w:rPr>
          <w:b/>
          <w:bCs/>
          <w:sz w:val="24"/>
          <w:szCs w:val="24"/>
          <w:lang w:val="pl-PL"/>
        </w:rPr>
        <w:t xml:space="preserve">powiedział </w:t>
      </w:r>
      <w:proofErr w:type="spellStart"/>
      <w:r w:rsidR="00673EDA" w:rsidRPr="00673EDA">
        <w:rPr>
          <w:b/>
          <w:bCs/>
          <w:sz w:val="24"/>
          <w:szCs w:val="24"/>
          <w:lang w:val="pl-PL"/>
        </w:rPr>
        <w:t>Dave</w:t>
      </w:r>
      <w:proofErr w:type="spellEnd"/>
      <w:r w:rsidR="00673EDA" w:rsidRPr="00673EDA">
        <w:rPr>
          <w:b/>
          <w:bCs/>
          <w:sz w:val="24"/>
          <w:szCs w:val="24"/>
          <w:lang w:val="pl-PL"/>
        </w:rPr>
        <w:t xml:space="preserve"> Rogers, SVP Global </w:t>
      </w:r>
      <w:proofErr w:type="spellStart"/>
      <w:r w:rsidR="00673EDA" w:rsidRPr="00673EDA">
        <w:rPr>
          <w:b/>
          <w:bCs/>
          <w:sz w:val="24"/>
          <w:szCs w:val="24"/>
          <w:lang w:val="pl-PL"/>
        </w:rPr>
        <w:t>Alliances</w:t>
      </w:r>
      <w:proofErr w:type="spellEnd"/>
      <w:r w:rsidR="00673EDA" w:rsidRPr="00673EDA">
        <w:rPr>
          <w:b/>
          <w:bCs/>
          <w:sz w:val="24"/>
          <w:szCs w:val="24"/>
          <w:lang w:val="pl-PL"/>
        </w:rPr>
        <w:t xml:space="preserve"> and Channel Sales, </w:t>
      </w:r>
      <w:proofErr w:type="spellStart"/>
      <w:r w:rsidR="00673EDA" w:rsidRPr="00673EDA">
        <w:rPr>
          <w:b/>
          <w:bCs/>
          <w:sz w:val="24"/>
          <w:szCs w:val="24"/>
          <w:lang w:val="pl-PL"/>
        </w:rPr>
        <w:t>Netskope</w:t>
      </w:r>
      <w:proofErr w:type="spellEnd"/>
    </w:p>
    <w:p w14:paraId="0000000E" w14:textId="77777777" w:rsidR="001106F4" w:rsidRPr="00673EDA" w:rsidRDefault="001106F4" w:rsidP="00673EDA">
      <w:pPr>
        <w:jc w:val="center"/>
        <w:rPr>
          <w:sz w:val="24"/>
          <w:szCs w:val="24"/>
          <w:lang w:val="pl-PL"/>
        </w:rPr>
      </w:pPr>
    </w:p>
    <w:p w14:paraId="05EA51AD" w14:textId="467C840F" w:rsidR="00B77715" w:rsidRPr="00673EDA" w:rsidRDefault="00673EDA" w:rsidP="00673EDA">
      <w:pPr>
        <w:jc w:val="center"/>
        <w:rPr>
          <w:sz w:val="24"/>
          <w:szCs w:val="24"/>
          <w:lang w:val="pl-PL"/>
        </w:rPr>
      </w:pPr>
      <w:r w:rsidRPr="00673EDA">
        <w:rPr>
          <w:sz w:val="24"/>
          <w:szCs w:val="24"/>
          <w:lang w:val="pl-PL"/>
        </w:rPr>
        <w:t>***</w:t>
      </w:r>
    </w:p>
    <w:p w14:paraId="442C8BE5" w14:textId="77777777" w:rsidR="00B77715" w:rsidRPr="00673EDA" w:rsidRDefault="00B77715" w:rsidP="00673EDA">
      <w:pPr>
        <w:jc w:val="both"/>
        <w:rPr>
          <w:sz w:val="24"/>
          <w:szCs w:val="24"/>
          <w:highlight w:val="yellow"/>
          <w:lang w:val="pl-PL"/>
        </w:rPr>
      </w:pPr>
    </w:p>
    <w:p w14:paraId="00000011" w14:textId="77777777" w:rsidR="001106F4" w:rsidRPr="00673EDA" w:rsidRDefault="00000000" w:rsidP="00673EDA">
      <w:pPr>
        <w:jc w:val="both"/>
        <w:rPr>
          <w:b/>
          <w:sz w:val="24"/>
          <w:szCs w:val="24"/>
        </w:rPr>
      </w:pPr>
      <w:r w:rsidRPr="00673EDA">
        <w:rPr>
          <w:b/>
          <w:sz w:val="24"/>
          <w:szCs w:val="24"/>
        </w:rPr>
        <w:t>About Netskope</w:t>
      </w:r>
    </w:p>
    <w:p w14:paraId="50109A08" w14:textId="4E883E8B" w:rsidR="000D522E" w:rsidRPr="00673EDA" w:rsidRDefault="00000000" w:rsidP="00673EDA">
      <w:pPr>
        <w:jc w:val="both"/>
        <w:rPr>
          <w:color w:val="212121"/>
          <w:sz w:val="24"/>
          <w:szCs w:val="24"/>
        </w:rPr>
      </w:pPr>
      <w:r w:rsidRPr="00673EDA">
        <w:rPr>
          <w:sz w:val="24"/>
          <w:szCs w:val="24"/>
        </w:rPr>
        <w:t xml:space="preserve">Netskope, a global SASE leader, helps organizations apply zero trust principles and AI/ML innovations to protect data and defend against cyber threats. Fast and easy to use, the Netskope platform provides optimized access and real-time security for people, devices, and data anywhere they go. Netskope helps customers reduce risk, accelerate performance, and get unrivaled visibility into any cloud, web, and private application activity. Thousands of customers trust Netskope and its powerful NewEdge network to address evolving threats, new risks, technology shifts, organizational and network changes, and new regulatory requirements. </w:t>
      </w:r>
      <w:r w:rsidR="000D522E" w:rsidRPr="00673EDA">
        <w:rPr>
          <w:color w:val="212121"/>
          <w:sz w:val="24"/>
          <w:szCs w:val="24"/>
        </w:rPr>
        <w:t xml:space="preserve">Learn how Netskope helps customers be ready for anything on their SASE journey, visit </w:t>
      </w:r>
      <w:hyperlink r:id="rId8">
        <w:r w:rsidR="000D522E" w:rsidRPr="00673EDA">
          <w:rPr>
            <w:color w:val="1155CC"/>
            <w:sz w:val="24"/>
            <w:szCs w:val="24"/>
            <w:u w:val="single"/>
          </w:rPr>
          <w:t>netskope.com</w:t>
        </w:r>
      </w:hyperlink>
      <w:r w:rsidR="000D522E" w:rsidRPr="00673EDA">
        <w:rPr>
          <w:color w:val="212121"/>
          <w:sz w:val="24"/>
          <w:szCs w:val="24"/>
        </w:rPr>
        <w:t>.</w:t>
      </w:r>
    </w:p>
    <w:p w14:paraId="00000013" w14:textId="77777777" w:rsidR="001106F4" w:rsidRPr="00673EDA" w:rsidRDefault="001106F4" w:rsidP="00673EDA">
      <w:pPr>
        <w:jc w:val="both"/>
        <w:rPr>
          <w:sz w:val="24"/>
          <w:szCs w:val="24"/>
        </w:rPr>
      </w:pPr>
    </w:p>
    <w:p w14:paraId="00000014" w14:textId="77777777" w:rsidR="001106F4" w:rsidRPr="00673EDA" w:rsidRDefault="00000000" w:rsidP="00673EDA">
      <w:pPr>
        <w:pBdr>
          <w:top w:val="nil"/>
          <w:left w:val="nil"/>
          <w:bottom w:val="nil"/>
          <w:right w:val="nil"/>
          <w:between w:val="nil"/>
        </w:pBdr>
        <w:spacing w:line="240" w:lineRule="auto"/>
        <w:jc w:val="both"/>
        <w:rPr>
          <w:color w:val="000000"/>
          <w:sz w:val="24"/>
          <w:szCs w:val="24"/>
        </w:rPr>
      </w:pPr>
      <w:r w:rsidRPr="00673EDA">
        <w:rPr>
          <w:color w:val="000000"/>
          <w:sz w:val="24"/>
          <w:szCs w:val="24"/>
        </w:rPr>
        <w:t>As used in this document, “Deloitte” means Deloitte &amp; Touche LLP, a subsidiary of Deloitte LLP. Please see</w:t>
      </w:r>
      <w:r w:rsidRPr="00673EDA">
        <w:rPr>
          <w:color w:val="000066"/>
          <w:sz w:val="24"/>
          <w:szCs w:val="24"/>
        </w:rPr>
        <w:t xml:space="preserve"> </w:t>
      </w:r>
      <w:hyperlink r:id="rId9">
        <w:r w:rsidRPr="00673EDA">
          <w:rPr>
            <w:color w:val="1155CC"/>
            <w:sz w:val="24"/>
            <w:szCs w:val="24"/>
            <w:u w:val="single"/>
          </w:rPr>
          <w:t>www.deloitte.com/us/about</w:t>
        </w:r>
      </w:hyperlink>
      <w:r w:rsidRPr="00673EDA">
        <w:rPr>
          <w:color w:val="000066"/>
          <w:sz w:val="24"/>
          <w:szCs w:val="24"/>
        </w:rPr>
        <w:t xml:space="preserve"> </w:t>
      </w:r>
      <w:r w:rsidRPr="00673EDA">
        <w:rPr>
          <w:color w:val="000000"/>
          <w:sz w:val="24"/>
          <w:szCs w:val="24"/>
        </w:rPr>
        <w:t>for a detailed description of our legal structure. Certain services may not be available to attest clients under the rules and regulations of public accounting.</w:t>
      </w:r>
    </w:p>
    <w:p w14:paraId="00000015" w14:textId="77777777" w:rsidR="001106F4" w:rsidRPr="00673EDA" w:rsidRDefault="001106F4" w:rsidP="00673EDA">
      <w:pPr>
        <w:jc w:val="both"/>
        <w:rPr>
          <w:sz w:val="24"/>
          <w:szCs w:val="24"/>
        </w:rPr>
      </w:pPr>
    </w:p>
    <w:p w14:paraId="00000016" w14:textId="734625F8" w:rsidR="001106F4" w:rsidRPr="00673EDA" w:rsidRDefault="00426E06" w:rsidP="00673EDA">
      <w:pPr>
        <w:jc w:val="both"/>
        <w:rPr>
          <w:b/>
          <w:sz w:val="24"/>
          <w:szCs w:val="24"/>
          <w:lang w:val="pl-PL"/>
        </w:rPr>
      </w:pPr>
      <w:r w:rsidRPr="00673EDA">
        <w:rPr>
          <w:b/>
          <w:sz w:val="24"/>
          <w:szCs w:val="24"/>
          <w:lang w:val="pl-PL"/>
        </w:rPr>
        <w:t>Kontakt dla mediów:</w:t>
      </w:r>
    </w:p>
    <w:p w14:paraId="00000017" w14:textId="77777777" w:rsidR="001106F4" w:rsidRPr="00673EDA" w:rsidRDefault="00000000" w:rsidP="00673EDA">
      <w:pPr>
        <w:jc w:val="both"/>
        <w:rPr>
          <w:sz w:val="24"/>
          <w:szCs w:val="24"/>
          <w:lang w:val="pl-PL"/>
        </w:rPr>
      </w:pPr>
      <w:hyperlink r:id="rId10">
        <w:r w:rsidRPr="00673EDA">
          <w:rPr>
            <w:color w:val="1155CC"/>
            <w:sz w:val="24"/>
            <w:szCs w:val="24"/>
            <w:u w:val="single"/>
            <w:lang w:val="pl-PL"/>
          </w:rPr>
          <w:t>press@netskope.com</w:t>
        </w:r>
      </w:hyperlink>
    </w:p>
    <w:p w14:paraId="00000018" w14:textId="77777777" w:rsidR="001106F4" w:rsidRPr="00673EDA" w:rsidRDefault="001106F4" w:rsidP="00673EDA">
      <w:pPr>
        <w:jc w:val="both"/>
        <w:rPr>
          <w:sz w:val="24"/>
          <w:szCs w:val="24"/>
          <w:lang w:val="pl-PL"/>
        </w:rPr>
      </w:pPr>
    </w:p>
    <w:p w14:paraId="00000019" w14:textId="77777777" w:rsidR="001106F4" w:rsidRPr="00673EDA" w:rsidRDefault="001106F4" w:rsidP="00673EDA">
      <w:pPr>
        <w:jc w:val="both"/>
        <w:rPr>
          <w:sz w:val="24"/>
          <w:szCs w:val="24"/>
          <w:lang w:val="pl-PL"/>
        </w:rPr>
      </w:pPr>
    </w:p>
    <w:p w14:paraId="0000001A" w14:textId="77777777" w:rsidR="001106F4" w:rsidRPr="00673EDA" w:rsidRDefault="001106F4" w:rsidP="00673EDA">
      <w:pPr>
        <w:jc w:val="both"/>
        <w:rPr>
          <w:b/>
          <w:sz w:val="24"/>
          <w:szCs w:val="24"/>
          <w:highlight w:val="yellow"/>
          <w:lang w:val="pl-PL"/>
        </w:rPr>
      </w:pPr>
    </w:p>
    <w:sectPr w:rsidR="001106F4" w:rsidRPr="00673EDA">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C94B" w14:textId="77777777" w:rsidR="00FF5DE8" w:rsidRDefault="00FF5DE8">
      <w:pPr>
        <w:spacing w:line="240" w:lineRule="auto"/>
      </w:pPr>
      <w:r>
        <w:separator/>
      </w:r>
    </w:p>
  </w:endnote>
  <w:endnote w:type="continuationSeparator" w:id="0">
    <w:p w14:paraId="1F0CFCF0" w14:textId="77777777" w:rsidR="00FF5DE8" w:rsidRDefault="00FF5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A9EB" w14:textId="77777777" w:rsidR="00FF5DE8" w:rsidRDefault="00FF5DE8">
      <w:pPr>
        <w:spacing w:line="240" w:lineRule="auto"/>
      </w:pPr>
      <w:r>
        <w:separator/>
      </w:r>
    </w:p>
  </w:footnote>
  <w:footnote w:type="continuationSeparator" w:id="0">
    <w:p w14:paraId="77609268" w14:textId="77777777" w:rsidR="00FF5DE8" w:rsidRDefault="00FF5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106F4" w:rsidRDefault="001106F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F4"/>
    <w:rsid w:val="000D522E"/>
    <w:rsid w:val="001106F4"/>
    <w:rsid w:val="001B4F05"/>
    <w:rsid w:val="00305770"/>
    <w:rsid w:val="00326048"/>
    <w:rsid w:val="003A68A6"/>
    <w:rsid w:val="00426E06"/>
    <w:rsid w:val="00481C68"/>
    <w:rsid w:val="005621CE"/>
    <w:rsid w:val="00673EDA"/>
    <w:rsid w:val="00701107"/>
    <w:rsid w:val="00744145"/>
    <w:rsid w:val="007721F7"/>
    <w:rsid w:val="00786D9B"/>
    <w:rsid w:val="00885BD6"/>
    <w:rsid w:val="008F73C4"/>
    <w:rsid w:val="00B77715"/>
    <w:rsid w:val="00E10631"/>
    <w:rsid w:val="00E10EED"/>
    <w:rsid w:val="00E138BF"/>
    <w:rsid w:val="00E63637"/>
    <w:rsid w:val="00E74408"/>
    <w:rsid w:val="00EF6C8D"/>
    <w:rsid w:val="00F53CAD"/>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BE33"/>
  <w15:docId w15:val="{9FDBF21B-CBEB-46F3-A1D1-10DB968A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975B3B"/>
    <w:pPr>
      <w:spacing w:line="240" w:lineRule="auto"/>
    </w:pPr>
  </w:style>
  <w:style w:type="character" w:styleId="Odwoaniedokomentarza">
    <w:name w:val="annotation reference"/>
    <w:basedOn w:val="Domylnaczcionkaakapitu"/>
    <w:uiPriority w:val="99"/>
    <w:semiHidden/>
    <w:unhideWhenUsed/>
    <w:rsid w:val="00975B3B"/>
    <w:rPr>
      <w:sz w:val="16"/>
      <w:szCs w:val="16"/>
    </w:rPr>
  </w:style>
  <w:style w:type="paragraph" w:styleId="Tekstkomentarza">
    <w:name w:val="annotation text"/>
    <w:basedOn w:val="Normalny"/>
    <w:link w:val="TekstkomentarzaZnak"/>
    <w:uiPriority w:val="99"/>
    <w:unhideWhenUsed/>
    <w:rsid w:val="00975B3B"/>
    <w:pPr>
      <w:spacing w:line="240" w:lineRule="auto"/>
    </w:pPr>
    <w:rPr>
      <w:sz w:val="20"/>
      <w:szCs w:val="20"/>
    </w:rPr>
  </w:style>
  <w:style w:type="character" w:customStyle="1" w:styleId="TekstkomentarzaZnak">
    <w:name w:val="Tekst komentarza Znak"/>
    <w:basedOn w:val="Domylnaczcionkaakapitu"/>
    <w:link w:val="Tekstkomentarza"/>
    <w:uiPriority w:val="99"/>
    <w:rsid w:val="00975B3B"/>
    <w:rPr>
      <w:sz w:val="20"/>
      <w:szCs w:val="20"/>
    </w:rPr>
  </w:style>
  <w:style w:type="paragraph" w:styleId="Tematkomentarza">
    <w:name w:val="annotation subject"/>
    <w:basedOn w:val="Tekstkomentarza"/>
    <w:next w:val="Tekstkomentarza"/>
    <w:link w:val="TematkomentarzaZnak"/>
    <w:uiPriority w:val="99"/>
    <w:semiHidden/>
    <w:unhideWhenUsed/>
    <w:rsid w:val="00975B3B"/>
    <w:rPr>
      <w:b/>
      <w:bCs/>
    </w:rPr>
  </w:style>
  <w:style w:type="character" w:customStyle="1" w:styleId="TematkomentarzaZnak">
    <w:name w:val="Temat komentarza Znak"/>
    <w:basedOn w:val="TekstkomentarzaZnak"/>
    <w:link w:val="Tematkomentarza"/>
    <w:uiPriority w:val="99"/>
    <w:semiHidden/>
    <w:rsid w:val="00975B3B"/>
    <w:rPr>
      <w:b/>
      <w:bCs/>
      <w:sz w:val="20"/>
      <w:szCs w:val="20"/>
    </w:rPr>
  </w:style>
  <w:style w:type="character" w:styleId="Hipercze">
    <w:name w:val="Hyperlink"/>
    <w:basedOn w:val="Domylnaczcionkaakapitu"/>
    <w:uiPriority w:val="99"/>
    <w:unhideWhenUsed/>
    <w:rsid w:val="00B747CE"/>
    <w:rPr>
      <w:color w:val="0000FF" w:themeColor="hyperlink"/>
      <w:u w:val="single"/>
    </w:rPr>
  </w:style>
  <w:style w:type="paragraph" w:styleId="Zwykytekst">
    <w:name w:val="Plain Text"/>
    <w:basedOn w:val="Normalny"/>
    <w:link w:val="ZwykytekstZnak"/>
    <w:uiPriority w:val="99"/>
    <w:unhideWhenUsed/>
    <w:rsid w:val="00B747CE"/>
    <w:pPr>
      <w:spacing w:line="240" w:lineRule="auto"/>
    </w:pPr>
    <w:rPr>
      <w:rFonts w:ascii="Calibri" w:eastAsiaTheme="minorHAnsi" w:hAnsi="Calibri" w:cs="Times New Roman"/>
      <w:lang w:val="en-US"/>
    </w:rPr>
  </w:style>
  <w:style w:type="character" w:customStyle="1" w:styleId="ZwykytekstZnak">
    <w:name w:val="Zwykły tekst Znak"/>
    <w:basedOn w:val="Domylnaczcionkaakapitu"/>
    <w:link w:val="Zwykytekst"/>
    <w:uiPriority w:val="99"/>
    <w:rsid w:val="00B747CE"/>
    <w:rPr>
      <w:rFonts w:ascii="Calibri" w:eastAsiaTheme="minorHAnsi" w:hAnsi="Calibri" w:cs="Times New Roman"/>
      <w:lang w:val="en-US"/>
    </w:rPr>
  </w:style>
  <w:style w:type="character" w:styleId="Nierozpoznanawzmianka">
    <w:name w:val="Unresolved Mention"/>
    <w:basedOn w:val="Domylnaczcionkaakapitu"/>
    <w:uiPriority w:val="99"/>
    <w:semiHidden/>
    <w:unhideWhenUsed/>
    <w:rsid w:val="004C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netskope.com" TargetMode="External"/><Relationship Id="rId4" Type="http://schemas.openxmlformats.org/officeDocument/2006/relationships/webSettings" Target="webSettings.xml"/><Relationship Id="rId9" Type="http://schemas.openxmlformats.org/officeDocument/2006/relationships/hyperlink" Target="http://www.deloitte.com/u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6LosNe8CjGluPbPL+lLAcx1fEw==">CgMxLjA4AHIhMWo2RlVCV2twYnRWV3pCNzB3aVBTSHUwcWpTWTZLcU9P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3151</Characters>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2023-09-18T06:59:00Z</dcterms:created>
  <dcterms:modified xsi:type="dcterms:W3CDTF">2023-09-18T07:00:00Z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2023-07-13T15:43:33Z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aea9e2cc-fc00-4570-b482-432fafd5773d</vt:lpwstr>
  </property>
  <property fmtid="{D5CDD505-2E9C-101B-9397-08002B2CF9AE}" pid="8" name="MSIP_Label_ea60d57e-af5b-4752-ac57-3e4f28ca11dc_ContentBits">
    <vt:lpwstr>0</vt:lpwstr>
  </property>
</Properties>
</file>