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D3231" w14:textId="20A5DF4D" w:rsidR="00052340" w:rsidRDefault="00052340">
      <w:pPr>
        <w:keepNext/>
        <w:keepLines/>
        <w:spacing w:before="480" w:after="240" w:line="240" w:lineRule="auto"/>
        <w:outlineLvl w:val="1"/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</w:pPr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 xml:space="preserve">Ukraiński </w:t>
      </w:r>
      <w:proofErr w:type="spellStart"/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>UkrSibbank</w:t>
      </w:r>
      <w:proofErr w:type="spellEnd"/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 xml:space="preserve"> z grupy BNP </w:t>
      </w:r>
      <w:proofErr w:type="spellStart"/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>Paribas</w:t>
      </w:r>
      <w:proofErr w:type="spellEnd"/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 xml:space="preserve"> w polskiej chmurze </w:t>
      </w:r>
      <w:proofErr w:type="spellStart"/>
      <w:r w:rsidRPr="00052340">
        <w:rPr>
          <w:rFonts w:ascii="Lato Black" w:eastAsia="Times New Roman" w:hAnsi="Lato Black" w:cs="Times New Roman"/>
          <w:b/>
          <w:bCs/>
          <w:color w:val="14467C"/>
          <w:sz w:val="48"/>
          <w:szCs w:val="48"/>
          <w:lang w:eastAsia="pl-PL"/>
        </w:rPr>
        <w:t>Polcom</w:t>
      </w:r>
      <w:proofErr w:type="spellEnd"/>
    </w:p>
    <w:p w14:paraId="6CA01003" w14:textId="26790FAC" w:rsidR="003428BC" w:rsidRDefault="00F47FC7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S</w:t>
      </w:r>
      <w:r w:rsidR="0096297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kawina, </w:t>
      </w:r>
      <w:r w:rsidR="00EA0AE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13.04.2023</w:t>
      </w:r>
      <w:r w:rsidR="0096297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–</w:t>
      </w:r>
      <w:r w:rsidR="0096297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D11A64" w:rsidRPr="00052340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Bank</w:t>
      </w:r>
      <w:r w:rsidR="00D11A6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UkrSibbank</w:t>
      </w:r>
      <w:proofErr w:type="spellEnd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,</w:t>
      </w:r>
      <w:r w:rsidR="003428BC" w:rsidRPr="001E7AE6">
        <w:rPr>
          <w:b/>
        </w:rPr>
        <w:t xml:space="preserve"> </w:t>
      </w:r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stanowiący część międzynarodowej grupy finansowej BNP </w:t>
      </w:r>
      <w:proofErr w:type="spellStart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Paribas</w:t>
      </w:r>
      <w:proofErr w:type="spellEnd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</w:t>
      </w:r>
      <w:proofErr w:type="spellStart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Group</w:t>
      </w:r>
      <w:proofErr w:type="spellEnd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i obsługujący sieć 260 oddziałów świadczących usługi dla 2 milionów klientów w Ukrainie</w:t>
      </w:r>
      <w:r w:rsidR="00D11A64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,</w:t>
      </w:r>
      <w:r w:rsidR="003428BC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podjął współpracę z polskim dostawcą chmury dla biznesu – firmą </w:t>
      </w:r>
      <w:proofErr w:type="spellStart"/>
      <w:r w:rsidR="003428BC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Polcom</w:t>
      </w:r>
      <w:proofErr w:type="spellEnd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. </w:t>
      </w:r>
      <w:r w:rsidR="00CE1AC8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Polska firma</w:t>
      </w:r>
      <w:r w:rsidR="00104991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udostępn</w:t>
      </w:r>
      <w:r w:rsidR="00D11A64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ia</w:t>
      </w:r>
      <w:r w:rsidR="00104991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dla banku w chmurze</w:t>
      </w:r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środowisko tzw. </w:t>
      </w:r>
      <w:proofErr w:type="spellStart"/>
      <w:r w:rsidR="00EA0AE1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disaster</w:t>
      </w:r>
      <w:proofErr w:type="spellEnd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</w:t>
      </w:r>
      <w:proofErr w:type="spellStart"/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recovery</w:t>
      </w:r>
      <w:proofErr w:type="spellEnd"/>
      <w:r w:rsidR="00104991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>,</w:t>
      </w:r>
      <w:r w:rsidR="003428BC" w:rsidRPr="001E7AE6">
        <w:rPr>
          <w:rFonts w:ascii="Lato" w:eastAsia="Times New Roman" w:hAnsi="Lato" w:cs="Times New Roman"/>
          <w:b/>
          <w:color w:val="404040"/>
          <w:sz w:val="20"/>
          <w:szCs w:val="20"/>
          <w:lang w:eastAsia="pl-PL"/>
        </w:rPr>
        <w:t xml:space="preserve"> pozwalające na szybkie wznowienie działania infrastruktur IT w nagłych przypadkach.</w:t>
      </w:r>
    </w:p>
    <w:p w14:paraId="530AEBAF" w14:textId="77777777" w:rsidR="003428BC" w:rsidRDefault="003428BC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</w:p>
    <w:p w14:paraId="6667CA39" w14:textId="3E626000" w:rsidR="00335EC1" w:rsidRDefault="00AB4CB3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W efekcie rosyjskiej agresji </w:t>
      </w:r>
      <w:r w:rsidR="007C46C5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na Ukrainę </w:t>
      </w:r>
      <w:r w:rsidR="00D4523B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wiele przedsiębiorstw</w:t>
      </w:r>
      <w:r w:rsidR="006910B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z różnych sektorów </w:t>
      </w:r>
      <w:r w:rsidR="006910B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musiało przeo</w:t>
      </w:r>
      <w:r w:rsidR="0030215D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rganizować swoje modele działalności</w:t>
      </w:r>
      <w:r w:rsidR="0020370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. </w:t>
      </w:r>
      <w:r w:rsidR="00C2165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Objęło to </w:t>
      </w:r>
      <w:r w:rsidR="000C00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także </w:t>
      </w:r>
      <w:r w:rsidR="00D87C34" w:rsidRP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procedur</w:t>
      </w:r>
      <w:r w:rsidR="00C2165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y</w:t>
      </w:r>
      <w:r w:rsidR="00D87C34" w:rsidRP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związane z</w:t>
      </w:r>
      <w:r w:rsidR="00D87C34" w:rsidRP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za</w:t>
      </w:r>
      <w:r w:rsidR="00D3018E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chowani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em</w:t>
      </w:r>
      <w:r w:rsidR="00D3018E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ciągłości działania, </w:t>
      </w:r>
      <w:r w:rsidR="00D11A6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również </w:t>
      </w:r>
      <w:r w:rsidR="00345CF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pod kątem bezpieczeństwa</w:t>
      </w:r>
      <w:r w:rsidR="00D3018E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D87C34" w:rsidRP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infrastruktur</w:t>
      </w:r>
      <w:r w:rsidR="00345CF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y </w:t>
      </w:r>
      <w:r w:rsidR="00D87C34" w:rsidRPr="00D87C3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IT</w:t>
      </w:r>
      <w:r w:rsidR="00345CF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. </w:t>
      </w:r>
      <w:r w:rsidR="00C2165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Przykładem takiej organizacji jest </w:t>
      </w:r>
      <w:proofErr w:type="spellStart"/>
      <w:r w:rsidR="00DD3A11" w:rsidRPr="00DD3A1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UkrSibbank</w:t>
      </w:r>
      <w:proofErr w:type="spellEnd"/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</w:t>
      </w:r>
      <w:r w:rsidR="00296E02" w:rsidRPr="00296E02">
        <w:t xml:space="preserve"> </w:t>
      </w:r>
      <w:r w:rsidR="003428BC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stanowi</w:t>
      </w:r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ący</w:t>
      </w:r>
      <w:r w:rsidR="003428BC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część międzynarodowej grupy finansowej BNP </w:t>
      </w:r>
      <w:proofErr w:type="spellStart"/>
      <w:r w:rsidR="003428BC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Paribas</w:t>
      </w:r>
      <w:proofErr w:type="spellEnd"/>
      <w:r w:rsidR="003428BC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3428BC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G</w:t>
      </w:r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roup</w:t>
      </w:r>
      <w:proofErr w:type="spellEnd"/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i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obsługujący</w:t>
      </w:r>
      <w:r w:rsidR="00296E02" w:rsidRP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sieć 260 oddziałów </w:t>
      </w:r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świadczących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usługi dla </w:t>
      </w:r>
      <w:r w:rsidR="00296E02" w:rsidRP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2 milionów klientów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w</w:t>
      </w:r>
      <w:r w:rsidR="00296E02" w:rsidRP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Ukrainie</w:t>
      </w:r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.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Polcom</w:t>
      </w:r>
      <w:proofErr w:type="spellEnd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udostępnił dla banku </w:t>
      </w:r>
      <w:r w:rsid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środowisko</w:t>
      </w:r>
      <w:r w:rsidR="005D774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w</w:t>
      </w:r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D11A6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chmurze </w:t>
      </w:r>
      <w:r w:rsidR="00BF537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–</w:t>
      </w:r>
      <w:r w:rsidR="00D11A64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dista</w:t>
      </w:r>
      <w:r w:rsidR="0030294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s</w:t>
      </w:r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ter</w:t>
      </w:r>
      <w:proofErr w:type="spellEnd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recovery</w:t>
      </w:r>
      <w:proofErr w:type="spellEnd"/>
      <w:r w:rsidR="00104991" w:rsidRP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 pozwalające na szybkie wznowienie działania infrastruktur IT w nagłych przypadkach.</w:t>
      </w:r>
      <w:r w:rsidR="003428B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</w:p>
    <w:p w14:paraId="54FB2C89" w14:textId="77777777" w:rsidR="00401AB4" w:rsidRPr="00335EC1" w:rsidRDefault="00401AB4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</w:p>
    <w:p w14:paraId="36C5D396" w14:textId="562857D9" w:rsidR="00335EC1" w:rsidRPr="00052340" w:rsidRDefault="002E04FF" w:rsidP="00401AB4">
      <w:pPr>
        <w:spacing w:after="0" w:line="312" w:lineRule="auto"/>
        <w:jc w:val="both"/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–</w:t>
      </w:r>
      <w:r w:rsidR="00F5145D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UkrSibbank</w:t>
      </w:r>
      <w:proofErr w:type="spellEnd"/>
      <w:r w:rsidR="007E053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posiada centra danych i serwerownie w dwóch miastach</w:t>
      </w:r>
      <w:r w:rsidR="00200FF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6A552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–</w:t>
      </w:r>
      <w:r w:rsidR="00200FF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6A552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Kij</w:t>
      </w:r>
      <w:r w:rsidR="00832073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owie</w:t>
      </w:r>
      <w:r w:rsidR="006A552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i Chark</w:t>
      </w:r>
      <w:r w:rsidR="00832073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owie</w:t>
      </w:r>
      <w:r w:rsidR="006A552D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– </w:t>
      </w:r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na których skupiła się rosyjska ofensywa. </w:t>
      </w:r>
      <w:r w:rsidR="00521A76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Stąd </w:t>
      </w:r>
      <w:r w:rsidR="00CF4CC3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też podjęliśmy decyzję o </w:t>
      </w:r>
      <w:r w:rsidR="00052340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zbudowaniu tożsamego środowiska na terenie</w:t>
      </w:r>
      <w:r w:rsidR="00CF4CC3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innego kraju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– wskazuje </w:t>
      </w:r>
      <w:proofErr w:type="spellStart"/>
      <w:r w:rsidR="00201C6D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Serhii</w:t>
      </w:r>
      <w:proofErr w:type="spellEnd"/>
      <w:r w:rsidR="00201C6D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7A144B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Zagorulko</w:t>
      </w:r>
      <w:proofErr w:type="spellEnd"/>
      <w:r w:rsidR="007A144B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 Dyrektor IT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Pr="00DD3A1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UkrSibbank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u</w:t>
      </w:r>
      <w:proofErr w:type="spellEnd"/>
      <w:r w:rsidR="00CF4CC3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. 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– </w:t>
      </w:r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Najbardziej naturalnym wyborem była Polska</w:t>
      </w:r>
      <w:r w:rsidR="001B5EFF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, z uwagi na </w:t>
      </w:r>
      <w:r w:rsidR="00DD3A1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doświadczenia </w:t>
      </w:r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grupy finansowej BNP </w:t>
      </w:r>
      <w:proofErr w:type="spellStart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Paribas</w:t>
      </w:r>
      <w:proofErr w:type="spellEnd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proofErr w:type="spellStart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Group</w:t>
      </w:r>
      <w:proofErr w:type="spellEnd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, do której należy </w:t>
      </w:r>
      <w:proofErr w:type="spellStart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UkrSibbank</w:t>
      </w:r>
      <w:proofErr w:type="spellEnd"/>
      <w:r w:rsidR="00156954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. </w:t>
      </w:r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Najważniejszym </w:t>
      </w:r>
      <w:r w:rsidR="002C4C65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zadaniem </w:t>
      </w:r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było utworzenie środowiska </w:t>
      </w:r>
      <w:proofErr w:type="spellStart"/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disaster</w:t>
      </w:r>
      <w:proofErr w:type="spellEnd"/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proofErr w:type="spellStart"/>
      <w:r w:rsidR="00335EC1" w:rsidRPr="002E04FF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recovery</w:t>
      </w:r>
      <w:proofErr w:type="spellEnd"/>
      <w:r w:rsidR="000558E1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dla różnych systemów funkcjonujących w banku 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– dodaje. </w:t>
      </w:r>
    </w:p>
    <w:p w14:paraId="30671769" w14:textId="77777777" w:rsidR="00401AB4" w:rsidRPr="00335EC1" w:rsidRDefault="00401AB4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</w:p>
    <w:p w14:paraId="5E52E407" w14:textId="3931185C" w:rsidR="00335EC1" w:rsidRDefault="00104991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Należący do Grupy BNP </w:t>
      </w:r>
      <w:proofErr w:type="spellStart"/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Paribas</w:t>
      </w:r>
      <w:proofErr w:type="spellEnd"/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bank</w:t>
      </w:r>
      <w:r w:rsidR="00BA5553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zwrócił</w:t>
      </w:r>
      <w:r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się do </w:t>
      </w:r>
      <w:proofErr w:type="spellStart"/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Polcom</w:t>
      </w:r>
      <w:proofErr w:type="spellEnd"/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 czołowego dostawcy polskiej chmury dla biznesu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, z którym BNP </w:t>
      </w:r>
      <w:proofErr w:type="spellStart"/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Paribas</w:t>
      </w:r>
      <w:proofErr w:type="spellEnd"/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współpracuje na terenie Polski</w:t>
      </w:r>
      <w:r w:rsidR="0031063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.</w:t>
      </w:r>
    </w:p>
    <w:p w14:paraId="751B0DB2" w14:textId="77777777" w:rsidR="00401AB4" w:rsidRPr="00335EC1" w:rsidRDefault="00401AB4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</w:p>
    <w:p w14:paraId="2D02C5C6" w14:textId="3FC77D44" w:rsidR="00335EC1" w:rsidRDefault="009E0988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–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P</w:t>
      </w:r>
      <w:r w:rsidR="00335EC1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rojekt był </w:t>
      </w:r>
      <w:r w:rsidR="003428BC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335EC1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wyzwaniem z wielu powodów. Najważniejszy z nich to oczywiście trwająca rosyjska inwazja</w:t>
      </w:r>
      <w:r w:rsidR="00296E02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i związania z nią presja czasu. Dodatkowo sam</w:t>
      </w:r>
      <w:r w:rsidR="00296E02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335EC1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proces</w:t>
      </w:r>
      <w:r w:rsidR="00296E02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bezpiecznej</w:t>
      </w:r>
      <w:r w:rsidR="00335EC1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FC56BD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migracji środowisk </w:t>
      </w:r>
      <w:r w:rsidR="00296E02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chmurowych </w:t>
      </w:r>
      <w:r w:rsidR="00FC56BD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niesie za sobą wiele </w:t>
      </w:r>
      <w:proofErr w:type="spellStart"/>
      <w:r w:rsidR="003428BC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ryzyk</w:t>
      </w:r>
      <w:proofErr w:type="spellEnd"/>
      <w:r w:rsidR="008304BB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i wymaga dokładnego zaplanowania. Priorytetem dla nas były jednak cele biznesowe klienta</w:t>
      </w:r>
      <w:r w:rsidR="00104991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oraz podjęcie natychmiastowych działań. Finalnie</w:t>
      </w:r>
      <w:r w:rsidR="008304BB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104991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zrealizowaliśmy projekt</w:t>
      </w:r>
      <w:r w:rsidR="003428BC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335EC1" w:rsidRPr="00E03A69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w niecały kwartał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–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podkreśla </w:t>
      </w:r>
      <w:r w:rsid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Adam </w:t>
      </w:r>
      <w:proofErr w:type="spellStart"/>
      <w:r w:rsid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Matyaszek</w:t>
      </w:r>
      <w:proofErr w:type="spellEnd"/>
      <w:r w:rsidR="0010499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, </w:t>
      </w:r>
      <w:proofErr w:type="spellStart"/>
      <w:r w:rsidR="00612CD7" w:rsidRP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Key</w:t>
      </w:r>
      <w:proofErr w:type="spellEnd"/>
      <w:r w:rsidR="00612CD7" w:rsidRP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612CD7" w:rsidRP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Account</w:t>
      </w:r>
      <w:proofErr w:type="spellEnd"/>
      <w:r w:rsidR="00612CD7" w:rsidRP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Manager z </w:t>
      </w:r>
      <w:proofErr w:type="spellStart"/>
      <w:r w:rsidR="00612CD7" w:rsidRP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Polcom</w:t>
      </w:r>
      <w:proofErr w:type="spellEnd"/>
      <w:r w:rsid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. </w:t>
      </w:r>
    </w:p>
    <w:p w14:paraId="77BCA100" w14:textId="77777777" w:rsidR="00401AB4" w:rsidRPr="00335EC1" w:rsidRDefault="00401AB4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</w:p>
    <w:p w14:paraId="5496133A" w14:textId="4DC2BE11" w:rsidR="00C245DE" w:rsidRDefault="00BD263F" w:rsidP="00401AB4">
      <w:pPr>
        <w:spacing w:after="0" w:line="312" w:lineRule="auto"/>
        <w:jc w:val="both"/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W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ramach projektu </w:t>
      </w:r>
      <w:proofErr w:type="spellStart"/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Polcom</w:t>
      </w:r>
      <w:proofErr w:type="spellEnd"/>
      <w:r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udostępnił </w:t>
      </w:r>
      <w:r w:rsidR="00E355D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środowisko </w:t>
      </w:r>
      <w:proofErr w:type="spellStart"/>
      <w:r w:rsidR="00E355D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disaster</w:t>
      </w:r>
      <w:proofErr w:type="spellEnd"/>
      <w:r w:rsidR="00E355D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proofErr w:type="spellStart"/>
      <w:r w:rsidR="00E355D0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rec</w:t>
      </w:r>
      <w:r w:rsidR="0078515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overy</w:t>
      </w:r>
      <w:proofErr w:type="spellEnd"/>
      <w:r w:rsidR="0078515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dla </w:t>
      </w:r>
      <w:r w:rsidR="00FD7BF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aplikacji SAP, z których korzysta bank. Firma zapewniła także</w:t>
      </w:r>
      <w:r w:rsidR="008D3E39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serwery pod </w:t>
      </w:r>
      <w:r w:rsidR="00296E02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dane i </w:t>
      </w:r>
      <w:r w:rsidR="008D3E39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aplikacje</w:t>
      </w:r>
      <w:r w:rsidR="00836D0A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 m.in.</w:t>
      </w:r>
      <w:r w:rsidR="008D3E39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Oracle</w:t>
      </w:r>
      <w:r w:rsidR="009678D5">
        <w:t xml:space="preserve">. 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Przeniesienie </w:t>
      </w:r>
      <w:proofErr w:type="spellStart"/>
      <w:r w:rsidR="00612CD7" w:rsidRPr="00DD3A1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UkrSibbank</w:t>
      </w:r>
      <w:proofErr w:type="spellEnd"/>
      <w:r w:rsidR="00612CD7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 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do polskiej chmury objęło również ochronę przed ataka</w:t>
      </w:r>
      <w:r w:rsidR="00BF5374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m</w:t>
      </w:r>
      <w:r w:rsidR="00335EC1" w:rsidRPr="00335EC1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i </w:t>
      </w:r>
      <w:proofErr w:type="spellStart"/>
      <w:r w:rsidR="008D3E39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DDoS</w:t>
      </w:r>
      <w:proofErr w:type="spellEnd"/>
      <w:r w:rsidR="00280A8C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, które są często przeprowadzane z terenu Rosji.</w:t>
      </w:r>
    </w:p>
    <w:p w14:paraId="49365D5C" w14:textId="77777777" w:rsidR="00836D0A" w:rsidRDefault="00836D0A" w:rsidP="001E7AE6">
      <w:pPr>
        <w:spacing w:after="0" w:line="312" w:lineRule="auto"/>
        <w:jc w:val="both"/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</w:pPr>
    </w:p>
    <w:p w14:paraId="50DE4C9E" w14:textId="2E3BDA67" w:rsidR="009B3843" w:rsidRDefault="00215D9B" w:rsidP="001E7AE6">
      <w:pPr>
        <w:spacing w:after="0" w:line="312" w:lineRule="auto"/>
        <w:jc w:val="both"/>
        <w:rPr>
          <w:i/>
          <w:iCs/>
        </w:rPr>
      </w:pP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Migracja środowiska </w:t>
      </w:r>
      <w:proofErr w:type="spellStart"/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UkrSibbank</w:t>
      </w:r>
      <w:proofErr w:type="spellEnd"/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C245DE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pokazuje, jak ważn</w:t>
      </w:r>
      <w:r w:rsidR="00A31B01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a jest w dzisiejszych czasach elastyczność </w:t>
      </w: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i zabezpieczenie ciągłości działania infrastruktury IT</w:t>
      </w:r>
      <w:r w:rsidR="00A31B01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, którą </w:t>
      </w:r>
      <w:r w:rsidR="00CC1883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mogą </w:t>
      </w: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zapewnić</w:t>
      </w:r>
      <w:r w:rsidR="00CC1883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rozwiązania chmurowe. Dzięki </w:t>
      </w: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usługom w chmurze</w:t>
      </w:r>
      <w:r w:rsidR="00CC1883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 </w:t>
      </w:r>
      <w:r w:rsidR="003D3E74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nawet tak wymagające projekty </w:t>
      </w:r>
      <w:r w:rsidR="00F97D98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można </w:t>
      </w:r>
      <w:r w:rsidR="0025054D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skutecznie przeprowadzić pod presją czasu i </w:t>
      </w: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 xml:space="preserve">w </w:t>
      </w:r>
      <w:r w:rsidR="0025054D"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trudnych warunkach</w:t>
      </w:r>
      <w:r>
        <w:rPr>
          <w:rFonts w:ascii="Lato" w:eastAsia="Times New Roman" w:hAnsi="Lato" w:cs="Times New Roman"/>
          <w:i/>
          <w:iCs/>
          <w:color w:val="404040"/>
          <w:sz w:val="20"/>
          <w:szCs w:val="20"/>
          <w:lang w:eastAsia="pl-PL"/>
        </w:rPr>
        <w:t>, o jakich z pewnością możemy mówić w tym przypadku</w:t>
      </w:r>
      <w:r w:rsidR="00586E5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 xml:space="preserve">– podsumowuje Adam </w:t>
      </w:r>
      <w:proofErr w:type="spellStart"/>
      <w:r w:rsidR="00586E5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Matyaszek</w:t>
      </w:r>
      <w:proofErr w:type="spellEnd"/>
      <w:r w:rsidR="00586E56">
        <w:rPr>
          <w:rFonts w:ascii="Lato" w:eastAsia="Times New Roman" w:hAnsi="Lato" w:cs="Times New Roman"/>
          <w:color w:val="404040"/>
          <w:sz w:val="20"/>
          <w:szCs w:val="20"/>
          <w:lang w:eastAsia="pl-PL"/>
        </w:rPr>
        <w:t>.</w:t>
      </w:r>
    </w:p>
    <w:sectPr w:rsidR="009B3843">
      <w:headerReference w:type="default" r:id="rId11"/>
      <w:footerReference w:type="default" r:id="rId12"/>
      <w:pgSz w:w="11906" w:h="16838"/>
      <w:pgMar w:top="170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A806" w14:textId="77777777" w:rsidR="009245B7" w:rsidRDefault="009245B7">
      <w:pPr>
        <w:spacing w:after="0" w:line="240" w:lineRule="auto"/>
      </w:pPr>
      <w:r>
        <w:separator/>
      </w:r>
    </w:p>
  </w:endnote>
  <w:endnote w:type="continuationSeparator" w:id="0">
    <w:p w14:paraId="58C095BD" w14:textId="77777777" w:rsidR="009245B7" w:rsidRDefault="009245B7">
      <w:pPr>
        <w:spacing w:after="0" w:line="240" w:lineRule="auto"/>
      </w:pPr>
      <w:r>
        <w:continuationSeparator/>
      </w:r>
    </w:p>
  </w:endnote>
  <w:endnote w:type="continuationNotice" w:id="1">
    <w:p w14:paraId="1D1B0173" w14:textId="77777777" w:rsidR="009245B7" w:rsidRDefault="009245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378F" w14:textId="130F67B1" w:rsidR="009B3843" w:rsidRDefault="00890328">
    <w:pPr>
      <w:pStyle w:val="Stopka"/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273E17" wp14:editId="03168C4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3175" b="3175"/>
              <wp:wrapNone/>
              <wp:docPr id="1" name="Prostokąt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A6B8FF" id="Prostokąt 1" o:spid="_x0000_s1026" style="position:absolute;margin-left:0;margin-top:0;width:50pt;height:50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 w:rsidR="0010247F">
      <w:object w:dxaOrig="24480" w:dyaOrig="2880" w14:anchorId="21273E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3.5pt;height:69.5pt;mso-wrap-distance-left:0;mso-wrap-distance-right:0">
          <v:imagedata r:id="rId1" o:title=""/>
          <v:path textboxrect="0,0,0,0"/>
        </v:shape>
        <o:OLEObject Type="Embed" ProgID="Unknown" ShapeID="_x0000_i1026" DrawAspect="Content" ObjectID="_174290860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3ED5C" w14:textId="77777777" w:rsidR="009245B7" w:rsidRDefault="009245B7">
      <w:pPr>
        <w:spacing w:after="0" w:line="240" w:lineRule="auto"/>
      </w:pPr>
      <w:r>
        <w:separator/>
      </w:r>
    </w:p>
  </w:footnote>
  <w:footnote w:type="continuationSeparator" w:id="0">
    <w:p w14:paraId="6B18CDE3" w14:textId="77777777" w:rsidR="009245B7" w:rsidRDefault="009245B7">
      <w:pPr>
        <w:spacing w:after="0" w:line="240" w:lineRule="auto"/>
      </w:pPr>
      <w:r>
        <w:continuationSeparator/>
      </w:r>
    </w:p>
  </w:footnote>
  <w:footnote w:type="continuationNotice" w:id="1">
    <w:p w14:paraId="4A8E89F1" w14:textId="77777777" w:rsidR="009245B7" w:rsidRDefault="009245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6659" w14:textId="561DED13" w:rsidR="009B3843" w:rsidRDefault="00890328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C8F65" wp14:editId="1DB2240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3175" b="3175"/>
              <wp:wrapNone/>
              <wp:docPr id="2" name="Prostokąt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084F59" id="Prostokąt 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<v:stroke joinstyle="round"/>
              <o:lock v:ext="edit" selection="t"/>
            </v:rect>
          </w:pict>
        </mc:Fallback>
      </mc:AlternateContent>
    </w:r>
    <w:r w:rsidR="0010247F">
      <w:object w:dxaOrig="24480" w:dyaOrig="3600" w14:anchorId="2E3C8F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0" o:spid="_x0000_i1025" type="#_x0000_t75" style="width:593.5pt;height:87pt;mso-wrap-distance-left:0;mso-wrap-distance-right:0">
          <v:imagedata r:id="rId1" o:title=""/>
          <v:path textboxrect="0,0,0,0"/>
        </v:shape>
        <o:OLEObject Type="Embed" ProgID="Unknown" ShapeID="_x0000_i0" DrawAspect="Content" ObjectID="_174290860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BB98C"/>
    <w:multiLevelType w:val="hybridMultilevel"/>
    <w:tmpl w:val="A528A132"/>
    <w:lvl w:ilvl="0" w:tplc="7C24042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8F426CC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A3DCA6F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1DE8BB8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89F8626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45B226A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FC6D7F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E54A098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F90CD6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60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87A2D3"/>
    <w:rsid w:val="00004A28"/>
    <w:rsid w:val="00052340"/>
    <w:rsid w:val="0005254F"/>
    <w:rsid w:val="00052DD5"/>
    <w:rsid w:val="000558E1"/>
    <w:rsid w:val="00064370"/>
    <w:rsid w:val="000B4F79"/>
    <w:rsid w:val="000C00D7"/>
    <w:rsid w:val="000C32AC"/>
    <w:rsid w:val="000F5E2B"/>
    <w:rsid w:val="0010247F"/>
    <w:rsid w:val="00104991"/>
    <w:rsid w:val="00156954"/>
    <w:rsid w:val="00185EC1"/>
    <w:rsid w:val="001B5EFF"/>
    <w:rsid w:val="001C25A1"/>
    <w:rsid w:val="001E7AE6"/>
    <w:rsid w:val="001F2E36"/>
    <w:rsid w:val="00200FFD"/>
    <w:rsid w:val="00201C6D"/>
    <w:rsid w:val="00203706"/>
    <w:rsid w:val="00203D81"/>
    <w:rsid w:val="00215D9B"/>
    <w:rsid w:val="0025054D"/>
    <w:rsid w:val="00280A8C"/>
    <w:rsid w:val="00296E02"/>
    <w:rsid w:val="002C4C65"/>
    <w:rsid w:val="002D3552"/>
    <w:rsid w:val="002E04FF"/>
    <w:rsid w:val="0030215D"/>
    <w:rsid w:val="00302940"/>
    <w:rsid w:val="00310637"/>
    <w:rsid w:val="00330EAF"/>
    <w:rsid w:val="00335EC1"/>
    <w:rsid w:val="003428BC"/>
    <w:rsid w:val="00345CF1"/>
    <w:rsid w:val="00373121"/>
    <w:rsid w:val="0037582B"/>
    <w:rsid w:val="003909AB"/>
    <w:rsid w:val="003D12FA"/>
    <w:rsid w:val="003D3E74"/>
    <w:rsid w:val="00401AB4"/>
    <w:rsid w:val="004069E4"/>
    <w:rsid w:val="00417D3B"/>
    <w:rsid w:val="00451A15"/>
    <w:rsid w:val="004E257B"/>
    <w:rsid w:val="00521A76"/>
    <w:rsid w:val="00540BE3"/>
    <w:rsid w:val="005508D7"/>
    <w:rsid w:val="00571314"/>
    <w:rsid w:val="0057429E"/>
    <w:rsid w:val="00586E56"/>
    <w:rsid w:val="005D774C"/>
    <w:rsid w:val="005F523E"/>
    <w:rsid w:val="00612CD7"/>
    <w:rsid w:val="006910B6"/>
    <w:rsid w:val="00695243"/>
    <w:rsid w:val="006A552D"/>
    <w:rsid w:val="006B3DFF"/>
    <w:rsid w:val="006C3F3E"/>
    <w:rsid w:val="00742EB6"/>
    <w:rsid w:val="007469DF"/>
    <w:rsid w:val="00775187"/>
    <w:rsid w:val="00785152"/>
    <w:rsid w:val="0079649E"/>
    <w:rsid w:val="007A144B"/>
    <w:rsid w:val="007A1DD9"/>
    <w:rsid w:val="007C46C5"/>
    <w:rsid w:val="007C5591"/>
    <w:rsid w:val="007D5A65"/>
    <w:rsid w:val="007E053D"/>
    <w:rsid w:val="008074E4"/>
    <w:rsid w:val="008304BB"/>
    <w:rsid w:val="00832073"/>
    <w:rsid w:val="00836D0A"/>
    <w:rsid w:val="00890328"/>
    <w:rsid w:val="008D3E39"/>
    <w:rsid w:val="00906A14"/>
    <w:rsid w:val="009245B7"/>
    <w:rsid w:val="00926631"/>
    <w:rsid w:val="0096297C"/>
    <w:rsid w:val="009678D5"/>
    <w:rsid w:val="009B3843"/>
    <w:rsid w:val="009E0988"/>
    <w:rsid w:val="00A31B01"/>
    <w:rsid w:val="00A50D55"/>
    <w:rsid w:val="00A80895"/>
    <w:rsid w:val="00A9135F"/>
    <w:rsid w:val="00AB398E"/>
    <w:rsid w:val="00AB4CB3"/>
    <w:rsid w:val="00AB67C4"/>
    <w:rsid w:val="00AD7527"/>
    <w:rsid w:val="00BA5553"/>
    <w:rsid w:val="00BB4A25"/>
    <w:rsid w:val="00BD263F"/>
    <w:rsid w:val="00BF5374"/>
    <w:rsid w:val="00C21650"/>
    <w:rsid w:val="00C245DE"/>
    <w:rsid w:val="00C75583"/>
    <w:rsid w:val="00CC1883"/>
    <w:rsid w:val="00CE1AC8"/>
    <w:rsid w:val="00CF4CC3"/>
    <w:rsid w:val="00D11A64"/>
    <w:rsid w:val="00D1379F"/>
    <w:rsid w:val="00D26EC7"/>
    <w:rsid w:val="00D3018E"/>
    <w:rsid w:val="00D4523B"/>
    <w:rsid w:val="00D73A72"/>
    <w:rsid w:val="00D87C34"/>
    <w:rsid w:val="00DB1242"/>
    <w:rsid w:val="00DD3A11"/>
    <w:rsid w:val="00E03A69"/>
    <w:rsid w:val="00E04586"/>
    <w:rsid w:val="00E355D0"/>
    <w:rsid w:val="00E4480B"/>
    <w:rsid w:val="00EA0AE1"/>
    <w:rsid w:val="00EA1108"/>
    <w:rsid w:val="00EC2DFB"/>
    <w:rsid w:val="00F47FC7"/>
    <w:rsid w:val="00F5145D"/>
    <w:rsid w:val="00F54B63"/>
    <w:rsid w:val="00F66139"/>
    <w:rsid w:val="00F954BD"/>
    <w:rsid w:val="00F97D98"/>
    <w:rsid w:val="00FC56BD"/>
    <w:rsid w:val="00FD0E74"/>
    <w:rsid w:val="00FD7BF2"/>
    <w:rsid w:val="00FF092E"/>
    <w:rsid w:val="2B87A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355BCBDD"/>
  <w15:docId w15:val="{E260F37C-A2B0-4C32-8DEC-9FC62C96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59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  <w:shd w:val="clear" w:color="auto" w:fill="F2F2F2"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ocdata">
    <w:name w:val="docdata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table" w:styleId="Siatkatabelijasna">
    <w:name w:val="Grid Table Light"/>
    <w:basedOn w:val="Standardowy"/>
    <w:uiPriority w:val="59"/>
    <w:rsid w:val="00A808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atki1jasnaakcent1">
    <w:name w:val="Grid Table 1 Light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Tabelasiatki1jasnaakcent2">
    <w:name w:val="Grid Table 1 Light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Tabelasiatki1jasnaakcent3">
    <w:name w:val="Grid Table 1 Light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Tabelasiatki1jasnaakcent4">
    <w:name w:val="Grid Table 1 Light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Tabelasiatki1jasnaakcent5">
    <w:name w:val="Grid Table 1 Light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Tabelasiatki1jasnaakcent6">
    <w:name w:val="Grid Table 1 Light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akcent1">
    <w:name w:val="Grid Table 2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asiatki2akcent2">
    <w:name w:val="Grid Table 2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asiatki2akcent3">
    <w:name w:val="Grid Table 2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asiatki2akcent4">
    <w:name w:val="Grid Table 2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asiatki2akcent5">
    <w:name w:val="Grid Table 2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asiatki2akcent6">
    <w:name w:val="Grid Table 2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akcent1">
    <w:name w:val="Grid Table 3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styleId="Tabelasiatki3akcent2">
    <w:name w:val="Grid Table 3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asiatki3akcent3">
    <w:name w:val="Grid Table 3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asiatki3akcent4">
    <w:name w:val="Grid Table 3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asiatki3akcent5">
    <w:name w:val="Grid Table 3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asiatki3akcent6">
    <w:name w:val="Grid Table 3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akcent1">
    <w:name w:val="Grid Table 4 Accent 1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styleId="Tabelasiatki4akcent2">
    <w:name w:val="Grid Table 4 Accent 2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Tabelasiatki4akcent3">
    <w:name w:val="Grid Table 4 Accent 3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Tabelasiatki4akcent4">
    <w:name w:val="Grid Table 4 Accent 4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Tabelasiatki4akcent5">
    <w:name w:val="Grid Table 4 Accent 5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styleId="Tabelasiatki4akcent6">
    <w:name w:val="Grid Table 4 Accent 6"/>
    <w:basedOn w:val="Standardowy"/>
    <w:uiPriority w:val="5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akcent2">
    <w:name w:val="Grid Table 5 Dark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Tabelasiatki5ciemnaakcent3">
    <w:name w:val="Grid Table 5 Dark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Tabelasiatki5ciemnaakcent5">
    <w:name w:val="Grid Table 5 Dark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styleId="Tabelasiatki5ciemnaakcent6">
    <w:name w:val="Grid Table 5 Dark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akcent1">
    <w:name w:val="Grid Table 6 Colorful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Tabelasiatki6kolorowaakcent2">
    <w:name w:val="Grid Table 6 Colorful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siatki6kolorowaakcent3">
    <w:name w:val="Grid Table 6 Colorful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siatki6kolorowaakcent4">
    <w:name w:val="Grid Table 6 Colorful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siatki6kolorowaakcent5">
    <w:name w:val="Grid Table 6 Colorful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6kolorowaakcent6">
    <w:name w:val="Grid Table 6 Colorful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akcent1">
    <w:name w:val="Grid Table 7 Colorful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Tabelasiatki7kolorowaakcent2">
    <w:name w:val="Grid Table 7 Colorful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siatki7kolorowaakcent3">
    <w:name w:val="Grid Table 7 Colorful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Tabelasiatki7kolorowaakcent4">
    <w:name w:val="Grid Table 7 Colorful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siatki7kolorowaakcent5">
    <w:name w:val="Grid Table 7 Colorful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akcent6">
    <w:name w:val="Grid Table 7 Colorful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akcent1">
    <w:name w:val="List Table 1 Light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styleId="Tabelalisty1jasnaakcent2">
    <w:name w:val="List Table 1 Light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Tabelalisty1jasnaakcent3">
    <w:name w:val="List Table 1 Light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Tabelalisty1jasnaakcent4">
    <w:name w:val="List Table 1 Light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Tabelalisty1jasnaakcent5">
    <w:name w:val="List Table 1 Light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styleId="Tabelalisty1jasnaakcent6">
    <w:name w:val="List Table 1 Light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akcent1">
    <w:name w:val="List Table 2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alisty2akcent2">
    <w:name w:val="List Table 2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alisty2akcent3">
    <w:name w:val="List Table 2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alisty2akcent4">
    <w:name w:val="List Table 2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alisty2akcent5">
    <w:name w:val="List Table 2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alisty2akcent6">
    <w:name w:val="List Table 2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akcent1">
    <w:name w:val="List Table 3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Tabelalisty3akcent2">
    <w:name w:val="List Table 3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Tabelalisty3akcent3">
    <w:name w:val="List Table 3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Tabelalisty3akcent4">
    <w:name w:val="List Table 3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Tabelalisty3akcent5">
    <w:name w:val="List Table 3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Tabelalisty3akcent6">
    <w:name w:val="List Table 3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akcent1">
    <w:name w:val="List Table 4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styleId="Tabelalisty4akcent2">
    <w:name w:val="List Table 4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Tabelalisty4akcent3">
    <w:name w:val="List Table 4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Tabelalisty4akcent4">
    <w:name w:val="List Table 4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Tabelalisty4akcent5">
    <w:name w:val="List Table 4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styleId="Tabelalisty4akcent6">
    <w:name w:val="List Table 4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akcent1">
    <w:name w:val="List Table 5 Dark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styleId="Tabelalisty5ciemnaakcent2">
    <w:name w:val="List Table 5 Dark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Tabelalisty5ciemnaakcent3">
    <w:name w:val="List Table 5 Dark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Tabelalisty5ciemnaakcent4">
    <w:name w:val="List Table 5 Dark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Tabelalisty5ciemnaakcent5">
    <w:name w:val="List Table 5 Dark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styleId="Tabelalisty5ciemnaakcent6">
    <w:name w:val="List Table 5 Dark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akcent1">
    <w:name w:val="List Table 6 Colorful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Tabelalisty6kolorowaakcent2">
    <w:name w:val="List Table 6 Colorful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listy6kolorowaakcent3">
    <w:name w:val="List Table 6 Colorful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listy6kolorowaakcent4">
    <w:name w:val="List Table 6 Colorful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listy6kolorowaakcent5">
    <w:name w:val="List Table 6 Colorful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Tabelalisty6kolorowaakcent6">
    <w:name w:val="List Table 6 Colorful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akcent1">
    <w:name w:val="List Table 7 Colorful Accent 1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Tabelalisty7kolorowaakcent2">
    <w:name w:val="List Table 7 Colorful Accent 2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Tabelalisty7kolorowaakcent3">
    <w:name w:val="List Table 7 Colorful Accent 3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Tabelalisty7kolorowaakcent4">
    <w:name w:val="List Table 7 Colorful Accent 4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Tabelalisty7kolorowaakcent5">
    <w:name w:val="List Table 7 Colorful Accent 5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Tabelalisty7kolorowaakcent6">
    <w:name w:val="List Table 7 Colorful Accent 6"/>
    <w:basedOn w:val="Standardowy"/>
    <w:uiPriority w:val="99"/>
    <w:rsid w:val="00A80895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paragraph" w:styleId="Poprawka">
    <w:name w:val="Revision"/>
    <w:hidden/>
    <w:uiPriority w:val="99"/>
    <w:semiHidden/>
    <w:rsid w:val="005D77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92952-ed67-4a37-98e8-16bb33261804" xsi:nil="true"/>
    <lcf76f155ced4ddcb4097134ff3c332f xmlns="5c117b1a-9e42-4854-b79d-23a67df75aa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55660C03A2764B8124EDC84634E8F3" ma:contentTypeVersion="15" ma:contentTypeDescription="Utwórz nowy dokument." ma:contentTypeScope="" ma:versionID="6ed064475bef6cbed0fdf20018b2f93d">
  <xsd:schema xmlns:xsd="http://www.w3.org/2001/XMLSchema" xmlns:xs="http://www.w3.org/2001/XMLSchema" xmlns:p="http://schemas.microsoft.com/office/2006/metadata/properties" xmlns:ns2="30792952-ed67-4a37-98e8-16bb33261804" xmlns:ns3="5c117b1a-9e42-4854-b79d-23a67df75aaa" targetNamespace="http://schemas.microsoft.com/office/2006/metadata/properties" ma:root="true" ma:fieldsID="8b07f271cb89f4d2ccfcffdb4d694e75" ns2:_="" ns3:_="">
    <xsd:import namespace="30792952-ed67-4a37-98e8-16bb33261804"/>
    <xsd:import namespace="5c117b1a-9e42-4854-b79d-23a67df75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92952-ed67-4a37-98e8-16bb332618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51737ea-0937-41b4-9902-4ce8a209fa63}" ma:internalName="TaxCatchAll" ma:showField="CatchAllData" ma:web="30792952-ed67-4a37-98e8-16bb33261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17b1a-9e42-4854-b79d-23a67df75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72649fd-b21d-4f68-a2d6-ede9226ff2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F3A1A-0FD4-4DB5-A5DB-09720A05D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C47D7-58DE-4E3A-B1E0-32B59CA1D0CC}">
  <ds:schemaRefs>
    <ds:schemaRef ds:uri="http://schemas.microsoft.com/office/2006/metadata/properties"/>
    <ds:schemaRef ds:uri="http://schemas.microsoft.com/office/infopath/2007/PartnerControls"/>
    <ds:schemaRef ds:uri="30792952-ed67-4a37-98e8-16bb33261804"/>
    <ds:schemaRef ds:uri="5c117b1a-9e42-4854-b79d-23a67df75aaa"/>
  </ds:schemaRefs>
</ds:datastoreItem>
</file>

<file path=customXml/itemProps3.xml><?xml version="1.0" encoding="utf-8"?>
<ds:datastoreItem xmlns:ds="http://schemas.openxmlformats.org/officeDocument/2006/customXml" ds:itemID="{B79C9459-1530-4044-ACFF-FFAC3852A4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6670A-8CB1-495F-ACCB-50DC90CAD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92952-ed67-4a37-98e8-16bb33261804"/>
    <ds:schemaRef ds:uri="5c117b1a-9e42-4854-b79d-23a67df75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ROXX Media S.C.</dc:creator>
  <cp:keywords/>
  <dc:description/>
  <cp:lastModifiedBy>Michał Wieczorek</cp:lastModifiedBy>
  <cp:revision>14</cp:revision>
  <dcterms:created xsi:type="dcterms:W3CDTF">2023-01-13T08:41:00Z</dcterms:created>
  <dcterms:modified xsi:type="dcterms:W3CDTF">2023-04-13T14:30:00Z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0x010100B255660C03A2764B8124EDC84634E8F3</vt:lpwstr>
  </property>
  <property fmtid="{D5CDD505-2E9C-101B-9397-08002B2CF9AE}" pid="3" name="MediaServiceImageTags">
    <vt:lpwstr/>
  </property>
</Properties>
</file>