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-17144</wp:posOffset>
            </wp:positionH>
            <wp:positionV relativeFrom="paragraph">
              <wp:posOffset>131445</wp:posOffset>
            </wp:positionV>
            <wp:extent cx="4716780" cy="1424940"/>
            <wp:effectExtent b="0" l="0" r="0" t="0"/>
            <wp:wrapSquare wrapText="bothSides" distB="0" distT="0" distL="114300" distR="114300"/>
            <wp:docPr id="2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45370" l="0" r="4091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1424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4841875" cy="1522004"/>
                <wp:effectExtent b="0" l="0" r="0" t="0"/>
                <wp:wrapSquare wrapText="bothSides" distB="0" distT="0" distL="114300" distR="114300"/>
                <wp:docPr descr="title: "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9825" y="3029430"/>
                          <a:ext cx="483235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PANASONIC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OTWIERA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CENTRUM TESTOWE DLA KLIENTÓW I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ZAPEWNIA PRYWATNĄ SIEĆ 5G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4841875" cy="1522004"/>
                <wp:effectExtent b="0" l="0" r="0" t="0"/>
                <wp:wrapSquare wrapText="bothSides" distB="0" distT="0" distL="114300" distR="114300"/>
                <wp:docPr descr="title: " id="20" name="image3.png"/>
                <a:graphic>
                  <a:graphicData uri="http://schemas.openxmlformats.org/drawingml/2006/picture">
                    <pic:pic>
                      <pic:nvPicPr>
                        <pic:cNvPr descr="title: "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15220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  <w:sectPr>
          <w:headerReference r:id="rId9" w:type="default"/>
          <w:footerReference r:id="rId10" w:type="default"/>
          <w:pgSz w:h="16840" w:w="11910" w:orient="portrait"/>
          <w:pgMar w:bottom="817" w:top="567" w:left="567" w:right="567" w:header="576" w:footer="576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Panasonic otwiera w Monachium swoje pierwsze prywatne środowisko testowe sieci 5G na terenie ich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kampusu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nawiązała współpracę z czołowymi dostawcami usług 5G-as-a-Service, aby zapewnić łatwość konfiguracji i obsługi prywatnych sieci 5G na obszarze całej Europy.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Panasonic Connect Europe przedstawiło </w:t>
      </w:r>
      <w:r w:rsidDel="00000000" w:rsidR="00000000" w:rsidRPr="00000000">
        <w:rPr>
          <w:sz w:val="20"/>
          <w:szCs w:val="20"/>
          <w:rtl w:val="0"/>
        </w:rPr>
        <w:t xml:space="preserve">nową prywatną sieć 5G</w:t>
      </w:r>
      <w:r w:rsidDel="00000000" w:rsidR="00000000" w:rsidRPr="00000000">
        <w:rPr>
          <w:sz w:val="20"/>
          <w:szCs w:val="20"/>
          <w:rtl w:val="0"/>
        </w:rPr>
        <w:t xml:space="preserve"> w swoim Centrum Doświadczeń Klienta (CXC) w Monachium. Ma to pomóc klientom w zapewnieniu nieprzerwanej łączności, komunikacji w czasie rzeczywistym oraz zwiększeniu bezpieczeństwa dla kluczowych aplikacji w różnych sektorach.</w:t>
      </w:r>
    </w:p>
    <w:p w:rsidR="00000000" w:rsidDel="00000000" w:rsidP="00000000" w:rsidRDefault="00000000" w:rsidRPr="00000000" w14:paraId="0000000E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Współpracując z czołowymi dostawcami usług 5G-as-a-Service (5GaaS), Panasonic od teraz oferuje dedykowane i dostosowane do indywidualnych potrzeb prywatne sieci 5G. Charakteryzują się one minimalnymi opóźnieniami, co przekłada się na szybszą reakcję, doskonałą przepustowość danych i komunikację, a także wysoką wydajność i niezawodność.</w:t>
      </w:r>
    </w:p>
    <w:p w:rsidR="00000000" w:rsidDel="00000000" w:rsidP="00000000" w:rsidRDefault="00000000" w:rsidRPr="00000000" w14:paraId="0000000F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Prosta instalacja, konfiguracja i konserwacja prywatnego rozwiązania 5G firmy Panasonic została przedstawiona w innowacyjnym Centrum Obsługi Klienta w kampusie Panasonic w Monachium, demonstrując bezpieczne, superszybkie prędkości wysyłania i pobierania.</w:t>
      </w:r>
    </w:p>
    <w:p w:rsidR="00000000" w:rsidDel="00000000" w:rsidP="00000000" w:rsidRDefault="00000000" w:rsidRPr="00000000" w14:paraId="00000010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CXC firma zainstalowała dwie jednostki, które umożliwiają klientom i partnerom przeprowadzenie testów przekazywania aplikacji oraz urządzeń Panasonic TOUGHBOOK 5GSA z kontrolowaną prędkością. Dzięki temu mogą oni wykorzystać zalety zwiększonej przepustowości łącza 5G.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Klienci mają również dostęp do </w:t>
      </w:r>
      <w:r w:rsidDel="00000000" w:rsidR="00000000" w:rsidRPr="00000000">
        <w:rPr>
          <w:sz w:val="20"/>
          <w:szCs w:val="20"/>
          <w:rtl w:val="0"/>
        </w:rPr>
        <w:t xml:space="preserve">podniesionego</w:t>
      </w:r>
      <w:r w:rsidDel="00000000" w:rsidR="00000000" w:rsidRPr="00000000">
        <w:rPr>
          <w:sz w:val="20"/>
          <w:szCs w:val="20"/>
          <w:rtl w:val="0"/>
        </w:rPr>
        <w:t xml:space="preserve"> poziomu bezpieczeństwa i kontroli, które oferują prywatne </w:t>
      </w:r>
      <w:r w:rsidDel="00000000" w:rsidR="00000000" w:rsidRPr="00000000">
        <w:rPr>
          <w:sz w:val="20"/>
          <w:szCs w:val="20"/>
          <w:rtl w:val="0"/>
        </w:rPr>
        <w:t xml:space="preserve">połączenia</w:t>
      </w:r>
      <w:r w:rsidDel="00000000" w:rsidR="00000000" w:rsidRPr="00000000">
        <w:rPr>
          <w:sz w:val="20"/>
          <w:szCs w:val="20"/>
          <w:rtl w:val="0"/>
        </w:rPr>
        <w:t xml:space="preserve"> 5G. Dzięki zaawansowanym protokołom szyfrowania oraz zoptymalizowanej przepustowości danych Uplink i Downlink dostosowanym do potrzeb aplikacji zapewniona jest wysoka ochrona i efektywność korzystania z sieci.</w:t>
      </w:r>
    </w:p>
    <w:p w:rsidR="00000000" w:rsidDel="00000000" w:rsidP="00000000" w:rsidRDefault="00000000" w:rsidRPr="00000000" w14:paraId="00000011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Dzięki temu, że Panasonic jest właścicielem całej infrastruktury sieciowej, firma eliminuje złożoność dla obecnych i przyszłych klientów oraz partnerów biznesowych. Wykorzystuje najnowocześniejszą technologię do płynnej migracji do prywatnych sieci 5G, co przynosi korzyści pod względem prostoty w obsłudze i wydajności. Upraszcza to relacje między sprzętem, oprogramowaniem i łącznością, a istniejące perspektywy w sektorach transportu i logistyki, produkcji i budownictwa mogą zbadać zalety łączenia różnych urządzeń w jednej sieci prywatnej. </w:t>
      </w:r>
    </w:p>
    <w:p w:rsidR="00000000" w:rsidDel="00000000" w:rsidP="00000000" w:rsidRDefault="00000000" w:rsidRPr="00000000" w14:paraId="00000012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Zewnętrzni producenci i twórcy oprogramowania mają także możliwość testowania aplikacji i urządzeń 5G w rzeczywistych warunkach, co pomaga w optymalizacji ich rozwiązań. Ta współpraca umożliwia dostosowanie aplikacji do różnych platform, takich jak systemy operacyjne Windows, iOS lub Android, w celu zapewnienia najlepszej wydajności i doświadczenia.</w:t>
      </w:r>
    </w:p>
    <w:p w:rsidR="00000000" w:rsidDel="00000000" w:rsidP="00000000" w:rsidRDefault="00000000" w:rsidRPr="00000000" w14:paraId="00000013">
      <w:pPr>
        <w:widowControl w:val="1"/>
        <w:spacing w:after="1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Wiele organizacji chce uwolnić potencjał 5G w celu zwiększenia wydajności i łączności, ale mają obawy lub nie są pewne, jak postępować. Dzięki naszemu doświadczeniu w zakresie łączności i wielu urządzeniom mobilnym Panasonic zoptymalizowanym pod kątem 5G, naturalnym krokiem jest dla nas oferowanie bezpiecznych, superszybkich prywatnych sieci 5G klientom w całej Europie, gdzie tradycyjne </w:t>
      </w:r>
      <w:r w:rsidDel="00000000" w:rsidR="00000000" w:rsidRPr="00000000">
        <w:rPr>
          <w:i w:val="1"/>
          <w:sz w:val="20"/>
          <w:szCs w:val="20"/>
          <w:rtl w:val="0"/>
        </w:rPr>
        <w:t xml:space="preserve">sieci lub publiczne łącza 5G</w:t>
      </w:r>
      <w:r w:rsidDel="00000000" w:rsidR="00000000" w:rsidRPr="00000000">
        <w:rPr>
          <w:i w:val="1"/>
          <w:sz w:val="20"/>
          <w:szCs w:val="20"/>
          <w:rtl w:val="0"/>
        </w:rPr>
        <w:t xml:space="preserve"> nie spełniają swojej roli, </w:t>
      </w:r>
      <w:r w:rsidDel="00000000" w:rsidR="00000000" w:rsidRPr="00000000">
        <w:rPr>
          <w:sz w:val="20"/>
          <w:szCs w:val="20"/>
          <w:rtl w:val="0"/>
        </w:rPr>
        <w:t xml:space="preserve">wyjaśnia Thorsten Lutz, EU Solution Architect w Panasonic TOUGHBOOK.</w:t>
      </w:r>
    </w:p>
    <w:p w:rsidR="00000000" w:rsidDel="00000000" w:rsidP="00000000" w:rsidRDefault="00000000" w:rsidRPr="00000000" w14:paraId="00000014">
      <w:pPr>
        <w:widowControl w:val="1"/>
        <w:spacing w:after="160" w:lineRule="auto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Zainteresowane organizacje mogą już teraz zarezerwować warsztaty na miejscu i zaplanować kolejny poziom łączności z ekspertami firmy Panasonic. Odwiedź: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808080"/>
            <w:sz w:val="20"/>
            <w:szCs w:val="20"/>
            <w:u w:val="single"/>
            <w:rtl w:val="0"/>
          </w:rPr>
          <w:t xml:space="preserve">https://eu.connect.panasonic.com/gb/en/campus-munich-walk-through-future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2958" w:tblpY="89"/>
        <w:tblW w:w="4899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4899"/>
        <w:tblGridChange w:id="0">
          <w:tblGrid>
            <w:gridCol w:w="4899"/>
          </w:tblGrid>
        </w:tblGridChange>
      </w:tblGrid>
      <w:tr>
        <w:trPr>
          <w:cantSplit w:val="0"/>
          <w:trHeight w:val="1516" w:hRule="atLeast"/>
          <w:tblHeader w:val="0"/>
        </w:trPr>
        <w:tc>
          <w:tcPr>
            <w:shd w:fill="00b7f1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Kontakt dla mediów: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Adam Bąk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ab@publicmanagement.pl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sz w:val="20"/>
          <w:szCs w:val="20"/>
        </w:rPr>
      </w:pPr>
      <w:bookmarkStart w:colFirst="0" w:colLast="0" w:name="_heading=h.53bd1qw52l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O Grupie Panasonic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Grupa Panasonic, która powstała w 1918 roku, obecnie jest światowym liderem w opracowywaniu innowacyjnych technologii i rozwiązań dla szerokiej gamy branż, takich jak elektronika użytkowa, budownictwo mieszkaniowe, motoryzacja, przemysł, komunikacja i energetyka. Od 1 kwietnia 2022 roku, grupa przeszła na model działania spółki operacyjnej, gdzie Panasonic Holdings Corporation pełni rolę spółki holdingowej, obejmującej osiem spółek działających w różnych sektorach. Grupa odnotowała skonsolidowaną sprzedaż netto w wysokości 8 378,9 mld jenów (ok. 59,4 mld euro) za rok zakończony 31 marca 2023 r. Aby dowiedzieć się więcej o Grupie Panasonic, odwiedź: </w:t>
      </w:r>
      <w:hyperlink r:id="rId12">
        <w:r w:rsidDel="00000000" w:rsidR="00000000" w:rsidRPr="00000000">
          <w:rPr>
            <w:color w:val="808080"/>
            <w:sz w:val="20"/>
            <w:szCs w:val="20"/>
            <w:highlight w:val="white"/>
            <w:u w:val="single"/>
            <w:rtl w:val="0"/>
          </w:rPr>
          <w:t xml:space="preserve">https://holdings.panasonic/global/</w:t>
        </w:r>
      </w:hyperlink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864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Informacje o Panasonic Connect Europe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Panasonic Connect Europe rozpoczął działalność 1 października 2021 r., tworząc nową, skoncentrowaną na biznesie i sprawną organizację.Zatrudniając ponad 400 pracowników, firma przewodzi operacjom dzięki swojej nowej inicjatywie rozwiązań B2B o nazwie "Gemba Process Innovation", wspieranej przez szeroką gamę produktów biznesowych.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Panasonic Connect Europe ma siedzibę w Wiesbaden i składa się z następujących jednostek biznesowych: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Mobile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Solutions Business Division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pomaga pracownikom mobilnym zwiększyć produktywność dzięki gamie wytrzymałych notebooków, tabletów biznesowych i palmtopów Toughbook.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Dział biznesowy Media Entertainment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obejmujący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Visual System Solutions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oferujący szereg niezawodnych projektorów o wysokiej jasności oraz wysokiej jakości wyświetlacze; oraz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Broadcast &amp; ProAV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oferujące rozwiązania Smart Live Production z kompleksowego portfolio składającego się z kamer PTZ i systemowych, kamer, platformy Kairos IT/IP, mikserów i rozwiązań robotycznych szeroko stosowanych do przechwytywania wydarzeń na żywo, produkcji sportowej, telewizji i studiów xR.</w:t>
      </w:r>
    </w:p>
    <w:p w:rsidR="00000000" w:rsidDel="00000000" w:rsidP="00000000" w:rsidRDefault="00000000" w:rsidRPr="00000000" w14:paraId="0000002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Rozwiązania biznesowe i branżowe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dostarczające dostosowane do potrzeb rozwiązania technologiczne skoncentrowane na handlu detalicznym, logistyce i produkcji. Zaprojektowany, aby zwiększyć wydajność operacyjną i poprawić jakość obsługi klienta, pomagając firmom osiągać najlepsze wyniki każdego dnia.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Panasonic Factory Solutions Europe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sprzedaje szeroką gamę rozwiązań inteligentnej fabryki, w tym rozwiązania do produkcji elektroniki, systemy robotów i spawania oraz inżynierię oprogramowania.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80808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Więcej informacji na stronie: </w:t>
      </w:r>
      <w:hyperlink r:id="rId13">
        <w:r w:rsidDel="00000000" w:rsidR="00000000" w:rsidRPr="00000000">
          <w:rPr>
            <w:color w:val="808080"/>
            <w:sz w:val="20"/>
            <w:szCs w:val="20"/>
            <w:u w:val="single"/>
            <w:rtl w:val="0"/>
          </w:rPr>
          <w:t xml:space="preserve">https://eu.connect.panasonic.com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808080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Odwiedź profil na LinkedIn Panasonic Connect Europe: https://www.linkedin.com/company/panasonic-connect-europe/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74" w:top="2515" w:left="547" w:right="547" w:header="576" w:footer="56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0b7f1" w:val="clear"/>
      <w:tabs>
        <w:tab w:val="center" w:leader="none" w:pos="4513"/>
        <w:tab w:val="right" w:leader="none" w:pos="9026"/>
        <w:tab w:val="left" w:leader="none" w:pos="6900"/>
        <w:tab w:val="right" w:leader="none" w:pos="1077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22"/>
        <w:szCs w:val="22"/>
        <w:u w:val="none"/>
        <w:shd w:fill="auto" w:val="clear"/>
        <w:vertAlign w:val="baseline"/>
        <w:rtl w:val="0"/>
      </w:rPr>
      <w:t xml:space="preserve">Connecting to Tomorrow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before="70" w:lineRule="auto"/>
      <w:jc w:val="right"/>
      <w:rPr>
        <w:color w:val="006dad"/>
        <w:sz w:val="28"/>
        <w:szCs w:val="28"/>
      </w:rPr>
    </w:pPr>
    <w:r w:rsidDel="00000000" w:rsidR="00000000" w:rsidRPr="00000000">
      <w:rPr>
        <w:color w:val="006dad"/>
        <w:sz w:val="28"/>
        <w:szCs w:val="28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-2539</wp:posOffset>
          </wp:positionH>
          <wp:positionV relativeFrom="margin">
            <wp:posOffset>-1602104</wp:posOffset>
          </wp:positionV>
          <wp:extent cx="2847718" cy="1331486"/>
          <wp:effectExtent b="0" l="0" r="0" t="0"/>
          <wp:wrapNone/>
          <wp:docPr descr="A picture containing text&#10;&#10;Description automatically generated" id="22" name="image1.png"/>
          <a:graphic>
            <a:graphicData uri="http://schemas.openxmlformats.org/drawingml/2006/picture">
              <pic:pic>
                <pic:nvPicPr>
                  <pic:cNvPr descr="A picture containing 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7718" cy="133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6dad"/>
        <w:sz w:val="28"/>
        <w:szCs w:val="28"/>
        <w:rtl w:val="0"/>
      </w:rPr>
      <w:t xml:space="preserve">Informacja prasowa</w:t>
    </w:r>
  </w:p>
  <w:p w:rsidR="00000000" w:rsidDel="00000000" w:rsidP="00000000" w:rsidRDefault="00000000" w:rsidRPr="00000000" w14:paraId="00000038">
    <w:pPr>
      <w:spacing w:before="70" w:lineRule="auto"/>
      <w:jc w:val="right"/>
      <w:rPr/>
    </w:pPr>
    <w:r w:rsidDel="00000000" w:rsidR="00000000" w:rsidRPr="00000000">
      <w:rPr>
        <w:rtl w:val="0"/>
      </w:rPr>
      <w:t xml:space="preserve">4</w:t>
    </w:r>
    <w:r w:rsidDel="00000000" w:rsidR="00000000" w:rsidRPr="00000000">
      <w:rPr>
        <w:vertAlign w:val="superscript"/>
        <w:rtl w:val="0"/>
      </w:rPr>
      <w:t xml:space="preserve"> </w:t>
    </w:r>
    <w:r w:rsidDel="00000000" w:rsidR="00000000" w:rsidRPr="00000000">
      <w:rPr>
        <w:rtl w:val="0"/>
      </w:rPr>
      <w:t xml:space="preserve">kwietnia 2024 r.</w:t>
    </w:r>
  </w:p>
  <w:p w:rsidR="00000000" w:rsidDel="00000000" w:rsidP="00000000" w:rsidRDefault="00000000" w:rsidRPr="00000000" w14:paraId="00000039">
    <w:pPr>
      <w:spacing w:before="7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70" w:lineRule="auto"/>
      <w:jc w:val="right"/>
      <w:rPr>
        <w:color w:val="231f20"/>
      </w:rPr>
    </w:pPr>
    <w:r w:rsidDel="00000000" w:rsidR="00000000" w:rsidRPr="00000000">
      <w:rPr>
        <w:color w:val="231f20"/>
        <w:rtl w:val="0"/>
      </w:rPr>
      <w:t xml:space="preserve">Business and Industry Solutions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7A05E0"/>
    <w:rPr>
      <w:rFonts w:ascii="Arial" w:cs="Arial" w:eastAsia="Arial" w:hAnsi="Arial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7847A0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agwek3">
    <w:name w:val="heading 3"/>
    <w:basedOn w:val="Normalny"/>
    <w:link w:val="Nagwek3Znak"/>
    <w:uiPriority w:val="9"/>
    <w:qFormat w:val="1"/>
    <w:rsid w:val="00B07BA5"/>
    <w:pPr>
      <w:widowControl w:val="1"/>
      <w:autoSpaceDE w:val="1"/>
      <w:autoSpaceDN w:val="1"/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GB" w:val="en-GB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">
    <w:name w:val="Body Text"/>
    <w:basedOn w:val="Normalny"/>
    <w:link w:val="TekstpodstawowyZnak"/>
    <w:uiPriority w:val="1"/>
    <w:qFormat w:val="1"/>
    <w:rPr>
      <w:sz w:val="18"/>
      <w:szCs w:val="18"/>
    </w:rPr>
  </w:style>
  <w:style w:type="paragraph" w:styleId="Akapitzlist">
    <w:name w:val="List Paragraph"/>
    <w:basedOn w:val="Normalny"/>
    <w:uiPriority w:val="34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F906AE"/>
    <w:pPr>
      <w:tabs>
        <w:tab w:val="center" w:pos="4513"/>
        <w:tab w:val="right" w:pos="9026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906AE"/>
    <w:rPr>
      <w:rFonts w:ascii="Arial" w:cs="Arial" w:eastAsia="Arial" w:hAnsi="Arial"/>
    </w:rPr>
  </w:style>
  <w:style w:type="paragraph" w:styleId="Stopka">
    <w:name w:val="footer"/>
    <w:basedOn w:val="Normalny"/>
    <w:link w:val="StopkaZnak"/>
    <w:uiPriority w:val="99"/>
    <w:unhideWhenUsed w:val="1"/>
    <w:rsid w:val="00F906AE"/>
    <w:pPr>
      <w:tabs>
        <w:tab w:val="center" w:pos="4513"/>
        <w:tab w:val="right" w:pos="9026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906AE"/>
    <w:rPr>
      <w:rFonts w:ascii="Arial" w:cs="Arial" w:eastAsia="Arial" w:hAnsi="Arial"/>
    </w:rPr>
  </w:style>
  <w:style w:type="paragraph" w:styleId="BasicParagraph" w:customStyle="1">
    <w:name w:val="[Basic Paragraph]"/>
    <w:basedOn w:val="Normalny"/>
    <w:uiPriority w:val="99"/>
    <w:rsid w:val="00B4571B"/>
    <w:pPr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  <w:sz w:val="24"/>
      <w:szCs w:val="24"/>
      <w:lang w:val="en-GB"/>
    </w:rPr>
  </w:style>
  <w:style w:type="character" w:styleId="Hipercze">
    <w:name w:val="Hyperlink"/>
    <w:rsid w:val="00063FE5"/>
    <w:rPr>
      <w:rFonts w:ascii="Arial" w:hAnsi="Arial"/>
      <w:color w:val="808080"/>
      <w:sz w:val="20"/>
      <w:u w:val="single"/>
    </w:rPr>
  </w:style>
  <w:style w:type="paragraph" w:styleId="Standard1" w:customStyle="1">
    <w:name w:val="Standard1"/>
    <w:rsid w:val="00063FE5"/>
    <w:pPr>
      <w:widowControl w:val="1"/>
      <w:suppressAutoHyphens w:val="1"/>
      <w:autoSpaceDE w:val="1"/>
      <w:spacing w:after="200" w:line="276" w:lineRule="auto"/>
      <w:textAlignment w:val="baseline"/>
    </w:pPr>
    <w:rPr>
      <w:rFonts w:ascii="Calibri" w:cs="Calibri" w:eastAsia="SimSun" w:hAnsi="Calibri"/>
      <w:kern w:val="3"/>
      <w:lang w:val="en-GB"/>
    </w:rPr>
  </w:style>
  <w:style w:type="table" w:styleId="Tabela-Siatka">
    <w:name w:val="Table Grid"/>
    <w:basedOn w:val="Standardowy"/>
    <w:uiPriority w:val="39"/>
    <w:rsid w:val="00EC57D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yteHipercze">
    <w:name w:val="FollowedHyperlink"/>
    <w:basedOn w:val="Domylnaczcionkaakapitu"/>
    <w:uiPriority w:val="99"/>
    <w:semiHidden w:val="1"/>
    <w:unhideWhenUsed w:val="1"/>
    <w:rsid w:val="00EC57D6"/>
    <w:rPr>
      <w:color w:val="800080" w:themeColor="followedHyperlink"/>
      <w:u w:val="single"/>
    </w:rPr>
  </w:style>
  <w:style w:type="character" w:styleId="NichtaufgelsteErwhnung1" w:customStyle="1">
    <w:name w:val="Nicht aufgelöste Erwähnung1"/>
    <w:basedOn w:val="Domylnaczcionkaakapitu"/>
    <w:uiPriority w:val="99"/>
    <w:rsid w:val="00980717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E80245"/>
    <w:rPr>
      <w:rFonts w:asciiTheme="majorHAnsi" w:cstheme="majorBidi" w:eastAsiaTheme="majorEastAsia" w:hAnsiTheme="majorHAns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E80245"/>
    <w:rPr>
      <w:rFonts w:asciiTheme="majorHAnsi" w:cstheme="majorBidi" w:eastAsiaTheme="majorEastAsia" w:hAnsiTheme="majorHAns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8024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E80245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E80245"/>
    <w:rPr>
      <w:rFonts w:ascii="Arial" w:cs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80245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80245"/>
    <w:rPr>
      <w:rFonts w:ascii="Arial" w:cs="Arial" w:eastAsia="Arial" w:hAnsi="Arial"/>
      <w:b w:val="1"/>
      <w:bCs w:val="1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3D371B"/>
    <w:rPr>
      <w:rFonts w:ascii="Arial" w:cs="Arial" w:eastAsia="Arial" w:hAnsi="Arial"/>
      <w:sz w:val="18"/>
      <w:szCs w:val="18"/>
    </w:rPr>
  </w:style>
  <w:style w:type="character" w:styleId="UnresolvedMention1" w:customStyle="1">
    <w:name w:val="Unresolved Mention1"/>
    <w:basedOn w:val="Domylnaczcionkaakapitu"/>
    <w:uiPriority w:val="99"/>
    <w:rsid w:val="00C936FD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unhideWhenUsed w:val="1"/>
    <w:rsid w:val="004359C0"/>
    <w:rPr>
      <w:rFonts w:ascii="Times New Roman" w:cs="Times New Roman" w:hAnsi="Times New Roman"/>
      <w:sz w:val="24"/>
      <w:szCs w:val="24"/>
    </w:rPr>
  </w:style>
  <w:style w:type="character" w:styleId="UnresolvedMention2" w:customStyle="1">
    <w:name w:val="Unresolved Mention2"/>
    <w:basedOn w:val="Domylnaczcionkaakapitu"/>
    <w:uiPriority w:val="99"/>
    <w:rsid w:val="00BB41DC"/>
    <w:rPr>
      <w:color w:val="605e5c"/>
      <w:shd w:color="auto" w:fill="e1dfdd" w:val="clear"/>
    </w:r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AF0E8A"/>
    <w:pPr>
      <w:widowControl w:val="1"/>
      <w:autoSpaceDE w:val="1"/>
      <w:autoSpaceDN w:val="1"/>
    </w:pPr>
    <w:rPr>
      <w:rFonts w:asciiTheme="minorHAnsi" w:cstheme="minorBidi" w:eastAsiaTheme="minorHAnsi" w:hAnsiTheme="minorHAnsi"/>
      <w:sz w:val="24"/>
      <w:szCs w:val="24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AF0E8A"/>
    <w:rPr>
      <w:rFonts w:eastAsiaTheme="minorHAnsi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 w:val="1"/>
    <w:rsid w:val="00AF0E8A"/>
    <w:rPr>
      <w:vertAlign w:val="superscript"/>
    </w:rPr>
  </w:style>
  <w:style w:type="paragraph" w:styleId="p1" w:customStyle="1">
    <w:name w:val="p1"/>
    <w:basedOn w:val="Normalny"/>
    <w:rsid w:val="00DC576D"/>
    <w:pPr>
      <w:widowControl w:val="1"/>
      <w:autoSpaceDE w:val="1"/>
      <w:autoSpaceDN w:val="1"/>
    </w:pPr>
    <w:rPr>
      <w:rFonts w:eastAsiaTheme="minorEastAsia"/>
      <w:color w:val="3d4c53"/>
      <w:sz w:val="17"/>
      <w:szCs w:val="17"/>
    </w:rPr>
  </w:style>
  <w:style w:type="paragraph" w:styleId="Poprawka">
    <w:name w:val="Revision"/>
    <w:hidden w:val="1"/>
    <w:uiPriority w:val="99"/>
    <w:semiHidden w:val="1"/>
    <w:rsid w:val="005F0C19"/>
    <w:pPr>
      <w:widowControl w:val="1"/>
      <w:autoSpaceDE w:val="1"/>
      <w:autoSpaceDN w:val="1"/>
    </w:pPr>
    <w:rPr>
      <w:rFonts w:ascii="Arial" w:cs="Arial" w:eastAsia="Arial" w:hAnsi="Arial"/>
    </w:rPr>
  </w:style>
  <w:style w:type="character" w:styleId="UnresolvedMention3" w:customStyle="1">
    <w:name w:val="Unresolved Mention3"/>
    <w:basedOn w:val="Domylnaczcionkaakapitu"/>
    <w:uiPriority w:val="99"/>
    <w:rsid w:val="00570861"/>
    <w:rPr>
      <w:color w:val="605e5c"/>
      <w:shd w:color="auto" w:fill="e1dfdd" w:val="clear"/>
    </w:rPr>
  </w:style>
  <w:style w:type="character" w:styleId="Nagwek3Znak" w:customStyle="1">
    <w:name w:val="Nagłówek 3 Znak"/>
    <w:basedOn w:val="Domylnaczcionkaakapitu"/>
    <w:link w:val="Nagwek3"/>
    <w:uiPriority w:val="9"/>
    <w:rsid w:val="00B07BA5"/>
    <w:rPr>
      <w:rFonts w:ascii="Times New Roman" w:cs="Times New Roman" w:eastAsia="Times New Roman" w:hAnsi="Times New Roman"/>
      <w:b w:val="1"/>
      <w:bCs w:val="1"/>
      <w:sz w:val="27"/>
      <w:szCs w:val="27"/>
      <w:lang w:eastAsia="en-GB" w:val="en-GB"/>
    </w:rPr>
  </w:style>
  <w:style w:type="character" w:styleId="Pogrubienie">
    <w:name w:val="Strong"/>
    <w:basedOn w:val="Domylnaczcionkaakapitu"/>
    <w:uiPriority w:val="22"/>
    <w:qFormat w:val="1"/>
    <w:rsid w:val="00B07BA5"/>
    <w:rPr>
      <w:b w:val="1"/>
      <w:bCs w:val="1"/>
    </w:rPr>
  </w:style>
  <w:style w:type="paragraph" w:styleId="paragraph" w:customStyle="1">
    <w:name w:val="paragraph"/>
    <w:basedOn w:val="Normalny"/>
    <w:rsid w:val="007A2FE4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character" w:styleId="normaltextrun" w:customStyle="1">
    <w:name w:val="normaltextrun"/>
    <w:basedOn w:val="Domylnaczcionkaakapitu"/>
    <w:rsid w:val="007A2FE4"/>
  </w:style>
  <w:style w:type="character" w:styleId="apple-converted-space" w:customStyle="1">
    <w:name w:val="apple-converted-space"/>
    <w:basedOn w:val="Domylnaczcionkaakapitu"/>
    <w:rsid w:val="007A2FE4"/>
  </w:style>
  <w:style w:type="character" w:styleId="eop" w:customStyle="1">
    <w:name w:val="eop"/>
    <w:basedOn w:val="Domylnaczcionkaakapitu"/>
    <w:rsid w:val="007A2FE4"/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7847A0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Nierozpoznanawzmianka">
    <w:name w:val="Unresolved Mention"/>
    <w:basedOn w:val="Domylnaczcionkaakapitu"/>
    <w:uiPriority w:val="99"/>
    <w:unhideWhenUsed w:val="1"/>
    <w:rsid w:val="00660C36"/>
    <w:rPr>
      <w:color w:val="605e5c"/>
      <w:shd w:color="auto" w:fill="e1dfdd" w:val="clear"/>
    </w:rPr>
  </w:style>
  <w:style w:type="paragraph" w:styleId="BODYCOPY" w:customStyle="1">
    <w:name w:val="BODYCOPY"/>
    <w:basedOn w:val="Normalny"/>
    <w:rsid w:val="007142AE"/>
    <w:pPr>
      <w:widowControl w:val="1"/>
      <w:autoSpaceDE w:val="1"/>
      <w:autoSpaceDN w:val="1"/>
      <w:spacing w:line="360" w:lineRule="auto"/>
      <w:ind w:firstLine="360"/>
    </w:pPr>
    <w:rPr>
      <w:rFonts w:ascii="Times New Roman" w:cs="Times New Roman" w:hAnsi="Times New Roman" w:eastAsiaTheme="minorHAnsi"/>
      <w:sz w:val="24"/>
      <w:szCs w:val="24"/>
    </w:rPr>
  </w:style>
  <w:style w:type="character" w:styleId="titletext" w:customStyle="1">
    <w:name w:val="titletext"/>
    <w:basedOn w:val="Domylnaczcionkaakapitu"/>
    <w:rsid w:val="00A93BD9"/>
  </w:style>
  <w:style w:type="character" w:styleId="ops-15-26" w:customStyle="1">
    <w:name w:val="ops-15-26"/>
    <w:basedOn w:val="Domylnaczcionkaakapitu"/>
    <w:rsid w:val="00A93BD9"/>
  </w:style>
  <w:style w:type="character" w:styleId="ops-15" w:customStyle="1">
    <w:name w:val="ops-15"/>
    <w:basedOn w:val="Domylnaczcionkaakapitu"/>
    <w:rsid w:val="00A93BD9"/>
  </w:style>
  <w:style w:type="table" w:styleId="1" w:customStyle="1">
    <w:name w:val="1"/>
    <w:basedOn w:val="Standardowy"/>
    <w:rsid w:val="00DC1F51"/>
    <w:pPr>
      <w:autoSpaceDE w:val="1"/>
      <w:autoSpaceDN w:val="1"/>
    </w:pPr>
    <w:rPr>
      <w:rFonts w:ascii="Arial" w:cs="Arial" w:eastAsia="Arial" w:hAnsi="Arial"/>
      <w:lang w:eastAsia="pl-PL" w:val="pl-PL"/>
    </w:rPr>
    <w:tblPr>
      <w:tblStyleRowBandSize w:val="1"/>
      <w:tblStyleColBandSize w:val="1"/>
      <w:tblInd w:w="0.0" w:type="nil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u.connect.panasonic.com/gb/en/campus-munich-walk-through-future" TargetMode="External"/><Relationship Id="rId10" Type="http://schemas.openxmlformats.org/officeDocument/2006/relationships/footer" Target="footer1.xml"/><Relationship Id="rId13" Type="http://schemas.openxmlformats.org/officeDocument/2006/relationships/hyperlink" Target="https://eu.connect.panasonic.com" TargetMode="External"/><Relationship Id="rId12" Type="http://schemas.openxmlformats.org/officeDocument/2006/relationships/hyperlink" Target="https://holdings.panasonic/global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Z8CUOwWc/smsZZSa5ZOurKgAGg==">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2024-03-28T11:45:00Z</dcterms:created>
  <dc:creator>Michael Pullan (70E8869)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2017-11-10T00:00:00Z</vt:filetime>
  </property>
  <property fmtid="{D5CDD505-2E9C-101B-9397-08002B2CF9AE}" pid="5" name="ContentTypeId">
    <vt:lpwstr>0x010100FE1A3DC4BD39CA4E8F089020DCB60DC3</vt:lpwstr>
  </property>
  <property fmtid="{D5CDD505-2E9C-101B-9397-08002B2CF9AE}" pid="6" name="MSIP_Label_6b6aba9d-8cbb-47ae-bcdb-fa70e9cd8f33_Enabled">
    <vt:lpwstr>True</vt:lpwstr>
  </property>
  <property fmtid="{D5CDD505-2E9C-101B-9397-08002B2CF9AE}" pid="7" name="MSIP_Label_6b6aba9d-8cbb-47ae-bcdb-fa70e9cd8f33_SiteId">
    <vt:lpwstr>e63ede1e-f248-4910-8c5c-2010da10a206</vt:lpwstr>
  </property>
  <property fmtid="{D5CDD505-2E9C-101B-9397-08002B2CF9AE}" pid="8" name="MSIP_Label_6b6aba9d-8cbb-47ae-bcdb-fa70e9cd8f33_Owner">
    <vt:lpwstr>Rachael.Pugh@pmuk.net</vt:lpwstr>
  </property>
  <property fmtid="{D5CDD505-2E9C-101B-9397-08002B2CF9AE}" pid="9" name="MSIP_Label_6b6aba9d-8cbb-47ae-bcdb-fa70e9cd8f33_SetDate">
    <vt:lpwstr>2019-02-27T13:03:47.6705925Z</vt:lpwstr>
  </property>
  <property fmtid="{D5CDD505-2E9C-101B-9397-08002B2CF9AE}" pid="10" name="MSIP_Label_6b6aba9d-8cbb-47ae-bcdb-fa70e9cd8f33_Name">
    <vt:lpwstr>Internal Use</vt:lpwstr>
  </property>
  <property fmtid="{D5CDD505-2E9C-101B-9397-08002B2CF9AE}" pid="11" name="MSIP_Label_6b6aba9d-8cbb-47ae-bcdb-fa70e9cd8f33_Application">
    <vt:lpwstr>Microsoft Azure Information Protection</vt:lpwstr>
  </property>
  <property fmtid="{D5CDD505-2E9C-101B-9397-08002B2CF9AE}" pid="12" name="MSIP_Label_6b6aba9d-8cbb-47ae-bcdb-fa70e9cd8f33_Extended_MSFT_Method">
    <vt:lpwstr>Automatic</vt:lpwstr>
  </property>
  <property fmtid="{D5CDD505-2E9C-101B-9397-08002B2CF9AE}" pid="13" name="Sensitivity">
    <vt:lpwstr>Internal Use</vt:lpwstr>
  </property>
  <property fmtid="{D5CDD505-2E9C-101B-9397-08002B2CF9AE}" pid="14" name="GrammarlyDocumentId">
    <vt:lpwstr>25310487e445f2c6c0fa63f55221dd198872ad5de5345ef7d91cfa17469f44f8</vt:lpwstr>
  </property>
  <property fmtid="{D5CDD505-2E9C-101B-9397-08002B2CF9AE}" pid="15" name="MediaServiceImageTags">
    <vt:lpwstr/>
  </property>
</Properties>
</file>