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2D6C" w:rsidP="72817073" w:rsidRDefault="00CA2D6C" w14:paraId="2AB04E98" w14:textId="77777777">
      <w:pPr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</w:p>
    <w:p w:rsidR="02F3092B" w:rsidP="7EB5E2B1" w:rsidRDefault="02F3092B" w14:paraId="5B137EF6" w14:textId="749C0C06">
      <w:pPr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7EB5E2B1">
        <w:rPr>
          <w:rFonts w:eastAsiaTheme="minorEastAsia"/>
          <w:b/>
          <w:bCs/>
          <w:color w:val="000000" w:themeColor="text1"/>
          <w:sz w:val="30"/>
          <w:szCs w:val="30"/>
        </w:rPr>
        <w:t xml:space="preserve">Wydajne systemy chłodzenia </w:t>
      </w:r>
      <w:r w:rsidRPr="7EB5E2B1" w:rsidR="7033A1C2">
        <w:rPr>
          <w:rFonts w:eastAsiaTheme="minorEastAsia"/>
          <w:b/>
          <w:bCs/>
          <w:color w:val="000000" w:themeColor="text1"/>
          <w:sz w:val="30"/>
          <w:szCs w:val="30"/>
        </w:rPr>
        <w:t xml:space="preserve">cieczą </w:t>
      </w:r>
      <w:r w:rsidRPr="7EB5E2B1">
        <w:rPr>
          <w:rFonts w:eastAsiaTheme="minorEastAsia"/>
          <w:b/>
          <w:bCs/>
          <w:color w:val="000000" w:themeColor="text1"/>
          <w:sz w:val="30"/>
          <w:szCs w:val="30"/>
        </w:rPr>
        <w:t>od Equinix wesprą centra danych obsługujące rozwiązania AI</w:t>
      </w:r>
    </w:p>
    <w:p w:rsidR="02F3092B" w:rsidP="7EB5E2B1" w:rsidRDefault="270DF768" w14:paraId="7EF9F694" w14:textId="4DA5841A">
      <w:pPr>
        <w:jc w:val="center"/>
        <w:rPr>
          <w:rFonts w:eastAsiaTheme="minorEastAsia"/>
          <w:color w:val="000000" w:themeColor="text1"/>
        </w:rPr>
      </w:pPr>
      <w:r w:rsidRPr="7EB5E2B1">
        <w:rPr>
          <w:rFonts w:eastAsiaTheme="minorEastAsia"/>
          <w:i/>
          <w:iCs/>
          <w:color w:val="000000" w:themeColor="text1"/>
        </w:rPr>
        <w:t xml:space="preserve">Equinix </w:t>
      </w:r>
      <w:r w:rsidRPr="7EB5E2B1" w:rsidR="77E1C4AA">
        <w:rPr>
          <w:rFonts w:eastAsiaTheme="minorEastAsia"/>
          <w:i/>
          <w:iCs/>
          <w:color w:val="000000" w:themeColor="text1"/>
        </w:rPr>
        <w:t xml:space="preserve">planuje wprowadzić </w:t>
      </w:r>
      <w:r w:rsidRPr="7EB5E2B1" w:rsidR="0F5E1E0B">
        <w:rPr>
          <w:rFonts w:eastAsiaTheme="minorEastAsia"/>
          <w:i/>
          <w:iCs/>
          <w:color w:val="000000" w:themeColor="text1"/>
        </w:rPr>
        <w:t xml:space="preserve">chłodzenie </w:t>
      </w:r>
      <w:r w:rsidRPr="7EB5E2B1" w:rsidR="4C4EDE71">
        <w:rPr>
          <w:rFonts w:eastAsiaTheme="minorEastAsia"/>
          <w:i/>
          <w:iCs/>
          <w:color w:val="000000" w:themeColor="text1"/>
        </w:rPr>
        <w:t xml:space="preserve">cieczą </w:t>
      </w:r>
      <w:r w:rsidRPr="7EB5E2B1" w:rsidR="0F5E1E0B">
        <w:rPr>
          <w:rFonts w:eastAsiaTheme="minorEastAsia"/>
          <w:i/>
          <w:iCs/>
          <w:color w:val="000000" w:themeColor="text1"/>
        </w:rPr>
        <w:t xml:space="preserve">w ponad 45 metropoliach </w:t>
      </w:r>
      <w:r w:rsidRPr="7EB5E2B1" w:rsidR="0BC65BCE">
        <w:rPr>
          <w:rFonts w:eastAsiaTheme="minorEastAsia"/>
          <w:i/>
          <w:iCs/>
          <w:color w:val="000000" w:themeColor="text1"/>
        </w:rPr>
        <w:t>na całym świecie</w:t>
      </w:r>
      <w:r w:rsidRPr="7EB5E2B1" w:rsidR="0F5E1E0B">
        <w:rPr>
          <w:rFonts w:eastAsiaTheme="minorEastAsia"/>
          <w:i/>
          <w:iCs/>
          <w:color w:val="000000" w:themeColor="text1"/>
        </w:rPr>
        <w:t xml:space="preserve">, aby </w:t>
      </w:r>
      <w:r w:rsidRPr="7EB5E2B1" w:rsidR="02D73929">
        <w:rPr>
          <w:rFonts w:eastAsiaTheme="minorEastAsia"/>
          <w:i/>
          <w:iCs/>
          <w:color w:val="000000" w:themeColor="text1"/>
        </w:rPr>
        <w:t xml:space="preserve">wspierać serwery obsługujące zaawansowane technologie takie jak </w:t>
      </w:r>
      <w:r w:rsidRPr="7EB5E2B1" w:rsidR="0F5E1E0B">
        <w:rPr>
          <w:rFonts w:eastAsiaTheme="minorEastAsia"/>
          <w:i/>
          <w:iCs/>
          <w:color w:val="000000" w:themeColor="text1"/>
        </w:rPr>
        <w:t>sztuczna inteligencja</w:t>
      </w:r>
      <w:r w:rsidR="00556D02">
        <w:rPr>
          <w:rFonts w:eastAsiaTheme="minorEastAsia"/>
          <w:i/>
          <w:iCs/>
          <w:color w:val="000000" w:themeColor="text1"/>
        </w:rPr>
        <w:t>, analityka komputerów kwantowych lub wszelkie aktywności analityczno</w:t>
      </w:r>
      <w:r w:rsidR="00446D94">
        <w:rPr>
          <w:rFonts w:eastAsiaTheme="minorEastAsia"/>
          <w:i/>
          <w:iCs/>
          <w:color w:val="000000" w:themeColor="text1"/>
        </w:rPr>
        <w:t>-</w:t>
      </w:r>
      <w:r w:rsidR="00556D02">
        <w:rPr>
          <w:rFonts w:eastAsiaTheme="minorEastAsia"/>
          <w:i/>
          <w:iCs/>
          <w:color w:val="000000" w:themeColor="text1"/>
        </w:rPr>
        <w:t>obliczeniowe wymagające potężnej gęstości</w:t>
      </w:r>
    </w:p>
    <w:p w:rsidR="0D0298E2" w:rsidP="72817073" w:rsidRDefault="0D0298E2" w14:paraId="170025A4" w14:textId="79B19B12">
      <w:pPr>
        <w:jc w:val="both"/>
        <w:rPr>
          <w:rStyle w:val="normaltextrun"/>
          <w:rFonts w:eastAsiaTheme="minorEastAsia"/>
          <w:b/>
          <w:bCs/>
          <w:color w:val="000000" w:themeColor="text1"/>
        </w:rPr>
      </w:pPr>
      <w:r w:rsidRPr="72817073">
        <w:rPr>
          <w:rStyle w:val="normaltextrun"/>
          <w:rFonts w:eastAsiaTheme="minorEastAsia"/>
          <w:b/>
          <w:bCs/>
          <w:color w:val="000000" w:themeColor="text1"/>
        </w:rPr>
        <w:t xml:space="preserve">Zgodnie z raportem opublikowanym przez Ernst &amp; Young, 20% </w:t>
      </w:r>
      <w:r w:rsidR="001E3AC7">
        <w:rPr>
          <w:rStyle w:val="normaltextrun"/>
          <w:rFonts w:eastAsiaTheme="minorEastAsia"/>
          <w:b/>
          <w:bCs/>
          <w:color w:val="000000" w:themeColor="text1"/>
        </w:rPr>
        <w:t xml:space="preserve">ankietowanych </w:t>
      </w:r>
      <w:r w:rsidRPr="72817073">
        <w:rPr>
          <w:rStyle w:val="normaltextrun"/>
          <w:rFonts w:eastAsiaTheme="minorEastAsia"/>
          <w:b/>
          <w:bCs/>
          <w:color w:val="000000" w:themeColor="text1"/>
        </w:rPr>
        <w:t>firm w Polsce wdrożyło już rozwiązania oparte na algorytmach sztucznej inteligencji, a prawie połowa rozpoczęła ten proces</w:t>
      </w:r>
      <w:r w:rsidRPr="72817073">
        <w:rPr>
          <w:rStyle w:val="Odwoanieprzypisudolnego"/>
          <w:rFonts w:eastAsiaTheme="minorEastAsia"/>
          <w:b/>
          <w:bCs/>
          <w:color w:val="000000" w:themeColor="text1"/>
        </w:rPr>
        <w:footnoteReference w:id="2"/>
      </w:r>
      <w:r w:rsidRPr="72817073">
        <w:rPr>
          <w:rStyle w:val="normaltextrun"/>
          <w:rFonts w:eastAsiaTheme="minorEastAsia"/>
          <w:b/>
          <w:bCs/>
          <w:color w:val="000000" w:themeColor="text1"/>
        </w:rPr>
        <w:t xml:space="preserve">. </w:t>
      </w:r>
      <w:r w:rsidRPr="72817073" w:rsidR="2A75BE8A">
        <w:rPr>
          <w:rStyle w:val="normaltextrun"/>
          <w:rFonts w:eastAsiaTheme="minorEastAsia"/>
          <w:b/>
          <w:bCs/>
          <w:color w:val="000000" w:themeColor="text1"/>
        </w:rPr>
        <w:t>Oznacza to, że oprócz pojemnych przestrzeni dyskowych, współczesny biznes będzie wymagał również wydajn</w:t>
      </w:r>
      <w:r w:rsidR="00593508">
        <w:rPr>
          <w:rStyle w:val="normaltextrun"/>
          <w:rFonts w:eastAsiaTheme="minorEastAsia"/>
          <w:b/>
          <w:bCs/>
          <w:color w:val="000000" w:themeColor="text1"/>
        </w:rPr>
        <w:t>iejszych</w:t>
      </w:r>
      <w:r w:rsidRPr="72817073" w:rsidR="2A75BE8A">
        <w:rPr>
          <w:rStyle w:val="normaltextrun"/>
          <w:rFonts w:eastAsiaTheme="minorEastAsia"/>
          <w:b/>
          <w:bCs/>
          <w:color w:val="000000" w:themeColor="text1"/>
        </w:rPr>
        <w:t xml:space="preserve"> metod chłodzenia</w:t>
      </w:r>
      <w:r w:rsidR="00434614">
        <w:rPr>
          <w:rStyle w:val="normaltextrun"/>
          <w:rFonts w:eastAsiaTheme="minorEastAsia"/>
          <w:b/>
          <w:bCs/>
          <w:color w:val="000000" w:themeColor="text1"/>
        </w:rPr>
        <w:t>,</w:t>
      </w:r>
      <w:r w:rsidRPr="72817073" w:rsidR="2A75BE8A">
        <w:rPr>
          <w:rStyle w:val="normaltextrun"/>
          <w:rFonts w:eastAsiaTheme="minorEastAsia"/>
          <w:b/>
          <w:bCs/>
          <w:color w:val="000000" w:themeColor="text1"/>
        </w:rPr>
        <w:t xml:space="preserve"> umożliwiających nieprzerwaną pracę systemów. </w:t>
      </w:r>
      <w:r w:rsidRPr="72817073" w:rsidR="5F8F4626">
        <w:rPr>
          <w:rStyle w:val="normaltextrun"/>
          <w:rFonts w:eastAsiaTheme="minorEastAsia"/>
          <w:b/>
          <w:bCs/>
          <w:color w:val="000000" w:themeColor="text1"/>
        </w:rPr>
        <w:t xml:space="preserve">W związku z tym </w:t>
      </w:r>
      <w:r w:rsidRPr="72817073" w:rsidR="5F87DEB2">
        <w:rPr>
          <w:rStyle w:val="normaltextrun"/>
          <w:rFonts w:eastAsiaTheme="minorEastAsia"/>
          <w:b/>
          <w:bCs/>
          <w:color w:val="000000" w:themeColor="text1"/>
        </w:rPr>
        <w:t xml:space="preserve">Equinix planuje rozszerzać wsparcie techniczne dla centrów w Warszawie i w innych strategicznych lokalizacjach na świecie. </w:t>
      </w:r>
    </w:p>
    <w:p w:rsidRPr="00037975" w:rsidR="004E24DE" w:rsidP="72817073" w:rsidRDefault="1E805002" w14:paraId="6B10136C" w14:textId="186E1515">
      <w:pPr>
        <w:jc w:val="both"/>
        <w:rPr>
          <w:rStyle w:val="normaltextrun"/>
          <w:rFonts w:eastAsiaTheme="minorEastAsia"/>
          <w:color w:val="000000" w:themeColor="text1"/>
          <w:highlight w:val="yellow"/>
        </w:rPr>
      </w:pPr>
      <w:r w:rsidRPr="72817073">
        <w:rPr>
          <w:rStyle w:val="normaltextrun"/>
          <w:rFonts w:eastAsiaTheme="minorEastAsia"/>
          <w:color w:val="000000" w:themeColor="text1"/>
        </w:rPr>
        <w:t xml:space="preserve">Najnowsze </w:t>
      </w:r>
      <w:r w:rsidRPr="72817073" w:rsidR="2040087A">
        <w:rPr>
          <w:rStyle w:val="normaltextrun"/>
          <w:rFonts w:eastAsiaTheme="minorEastAsia"/>
          <w:color w:val="000000" w:themeColor="text1"/>
        </w:rPr>
        <w:t xml:space="preserve">prognozy jasno wskazują, jak </w:t>
      </w:r>
      <w:r w:rsidRPr="72817073" w:rsidR="7C0941B9">
        <w:rPr>
          <w:rStyle w:val="normaltextrun"/>
          <w:rFonts w:eastAsiaTheme="minorEastAsia"/>
          <w:color w:val="000000" w:themeColor="text1"/>
        </w:rPr>
        <w:t xml:space="preserve">dużym zainteresowaniem będą się cieszyły w kolejnych latach rozwiązania </w:t>
      </w:r>
      <w:r w:rsidRPr="72817073" w:rsidR="35C47948">
        <w:rPr>
          <w:rStyle w:val="normaltextrun"/>
          <w:rFonts w:eastAsiaTheme="minorEastAsia"/>
          <w:color w:val="000000" w:themeColor="text1"/>
        </w:rPr>
        <w:t>wykorzystujące</w:t>
      </w:r>
      <w:r w:rsidRPr="72817073" w:rsidR="7C0941B9">
        <w:rPr>
          <w:rStyle w:val="normaltextrun"/>
          <w:rFonts w:eastAsiaTheme="minorEastAsia"/>
          <w:color w:val="000000" w:themeColor="text1"/>
        </w:rPr>
        <w:t xml:space="preserve"> algorytmy operujące na ogromnych zbiorach danych, dla których potrzebna jest odpowiedni</w:t>
      </w:r>
      <w:r w:rsidRPr="72817073" w:rsidR="5C3CF128">
        <w:rPr>
          <w:rStyle w:val="normaltextrun"/>
          <w:rFonts w:eastAsiaTheme="minorEastAsia"/>
          <w:color w:val="000000" w:themeColor="text1"/>
        </w:rPr>
        <w:t>o wyposażona</w:t>
      </w:r>
      <w:r w:rsidRPr="72817073" w:rsidR="7C0941B9">
        <w:rPr>
          <w:rStyle w:val="normaltextrun"/>
          <w:rFonts w:eastAsiaTheme="minorEastAsia"/>
          <w:color w:val="000000" w:themeColor="text1"/>
        </w:rPr>
        <w:t xml:space="preserve"> infrastruktura serwerowa.</w:t>
      </w:r>
      <w:r w:rsidRPr="72817073" w:rsidR="06987AE6">
        <w:rPr>
          <w:rStyle w:val="normaltextrun"/>
          <w:rFonts w:eastAsiaTheme="minorEastAsia"/>
          <w:color w:val="000000" w:themeColor="text1"/>
        </w:rPr>
        <w:t xml:space="preserve"> </w:t>
      </w:r>
    </w:p>
    <w:p w:rsidRPr="00037975" w:rsidR="06987AE6" w:rsidP="7EB5E2B1" w:rsidRDefault="7AC1D2D9" w14:paraId="494693DB" w14:textId="18EB984D">
      <w:pPr>
        <w:jc w:val="both"/>
        <w:rPr>
          <w:rFonts w:eastAsiaTheme="minorEastAsia"/>
          <w:color w:val="000000" w:themeColor="text1"/>
        </w:rPr>
      </w:pPr>
      <w:r w:rsidRPr="7EB5E2B1">
        <w:rPr>
          <w:rStyle w:val="normaltextrun"/>
          <w:rFonts w:eastAsiaTheme="minorEastAsia"/>
          <w:b/>
          <w:bCs/>
          <w:color w:val="000000" w:themeColor="text1"/>
        </w:rPr>
        <w:t>Equinix</w:t>
      </w:r>
      <w:r w:rsidRPr="7EB5E2B1" w:rsidR="3DD70BB3">
        <w:rPr>
          <w:rStyle w:val="normaltextrun"/>
          <w:rFonts w:eastAsiaTheme="minorEastAsia"/>
          <w:b/>
          <w:bCs/>
          <w:color w:val="000000" w:themeColor="text1"/>
        </w:rPr>
        <w:t xml:space="preserve"> </w:t>
      </w:r>
      <w:r w:rsidRPr="7EB5E2B1" w:rsidR="18C76166">
        <w:rPr>
          <w:rStyle w:val="normaltextrun"/>
          <w:rFonts w:eastAsiaTheme="minorEastAsia"/>
          <w:b/>
          <w:bCs/>
          <w:color w:val="000000" w:themeColor="text1"/>
        </w:rPr>
        <w:t>planuje rozszerzyć wsparcie dla ponad 100 centrów danych International Business Exchange® (IBX®) w ponad 45 metropoliach na całym świecie</w:t>
      </w:r>
      <w:r w:rsidRPr="7EB5E2B1" w:rsidR="18C76166">
        <w:rPr>
          <w:rStyle w:val="normaltextrun"/>
          <w:rFonts w:eastAsiaTheme="minorEastAsia"/>
          <w:color w:val="000000" w:themeColor="text1"/>
        </w:rPr>
        <w:t xml:space="preserve">, umożliwiając </w:t>
      </w:r>
      <w:r w:rsidRPr="7EB5E2B1" w:rsidR="5BFD6F0A">
        <w:rPr>
          <w:rStyle w:val="normaltextrun"/>
          <w:rFonts w:eastAsiaTheme="minorEastAsia"/>
          <w:color w:val="000000" w:themeColor="text1"/>
        </w:rPr>
        <w:t xml:space="preserve">tym samym </w:t>
      </w:r>
      <w:r w:rsidRPr="7EB5E2B1">
        <w:rPr>
          <w:rStyle w:val="normaltextrun"/>
          <w:rFonts w:eastAsiaTheme="minorEastAsia"/>
          <w:color w:val="000000" w:themeColor="text1"/>
        </w:rPr>
        <w:t>korzystanie z zaawansowanych technologii</w:t>
      </w:r>
      <w:r w:rsidRPr="7EB5E2B1" w:rsidR="0A6F0091">
        <w:rPr>
          <w:rStyle w:val="normaltextrun"/>
          <w:rFonts w:eastAsiaTheme="minorEastAsia"/>
          <w:color w:val="000000" w:themeColor="text1"/>
        </w:rPr>
        <w:t xml:space="preserve"> chłodzenia </w:t>
      </w:r>
      <w:r w:rsidRPr="7EB5E2B1" w:rsidR="3F5E195C">
        <w:rPr>
          <w:rStyle w:val="normaltextrun"/>
          <w:rFonts w:eastAsiaTheme="minorEastAsia"/>
          <w:color w:val="000000" w:themeColor="text1"/>
        </w:rPr>
        <w:t>cieczą</w:t>
      </w:r>
      <w:r w:rsidRPr="7EB5E2B1" w:rsidR="0A6F0091">
        <w:rPr>
          <w:rStyle w:val="normaltextrun"/>
          <w:rFonts w:eastAsiaTheme="minorEastAsia"/>
          <w:color w:val="000000" w:themeColor="text1"/>
        </w:rPr>
        <w:t xml:space="preserve">, </w:t>
      </w:r>
      <w:r w:rsidRPr="7EB5E2B1" w:rsidR="7596B6D8">
        <w:rPr>
          <w:rStyle w:val="normaltextrun"/>
          <w:rFonts w:eastAsiaTheme="minorEastAsia"/>
          <w:color w:val="000000" w:themeColor="text1"/>
        </w:rPr>
        <w:t>w tym</w:t>
      </w:r>
      <w:r w:rsidRPr="7EB5E2B1">
        <w:rPr>
          <w:rStyle w:val="normaltextrun"/>
          <w:rFonts w:eastAsiaTheme="minorEastAsia"/>
          <w:color w:val="000000" w:themeColor="text1"/>
        </w:rPr>
        <w:t xml:space="preserve"> </w:t>
      </w:r>
      <w:r w:rsidRPr="7EB5E2B1" w:rsidR="106CED18">
        <w:rPr>
          <w:rStyle w:val="normaltextrun"/>
          <w:rFonts w:eastAsiaTheme="minorEastAsia"/>
          <w:color w:val="000000" w:themeColor="text1"/>
        </w:rPr>
        <w:t>bezpośredni</w:t>
      </w:r>
      <w:r w:rsidRPr="7EB5E2B1" w:rsidR="5EE4EDAB">
        <w:rPr>
          <w:rStyle w:val="normaltextrun"/>
          <w:rFonts w:eastAsiaTheme="minorEastAsia"/>
          <w:color w:val="000000" w:themeColor="text1"/>
        </w:rPr>
        <w:t>e</w:t>
      </w:r>
      <w:r w:rsidRPr="7EB5E2B1" w:rsidR="2F77D536">
        <w:rPr>
          <w:rStyle w:val="normaltextrun"/>
          <w:rFonts w:eastAsiaTheme="minorEastAsia"/>
          <w:color w:val="000000" w:themeColor="text1"/>
        </w:rPr>
        <w:t>go</w:t>
      </w:r>
      <w:r w:rsidRPr="7EB5E2B1" w:rsidR="106CED18">
        <w:rPr>
          <w:rStyle w:val="normaltextrun"/>
          <w:rFonts w:eastAsiaTheme="minorEastAsia"/>
          <w:color w:val="000000" w:themeColor="text1"/>
        </w:rPr>
        <w:t xml:space="preserve"> chłodzeni</w:t>
      </w:r>
      <w:r w:rsidRPr="7EB5E2B1" w:rsidR="19791D85">
        <w:rPr>
          <w:rStyle w:val="normaltextrun"/>
          <w:rFonts w:eastAsiaTheme="minorEastAsia"/>
          <w:color w:val="000000" w:themeColor="text1"/>
        </w:rPr>
        <w:t>a</w:t>
      </w:r>
      <w:r w:rsidRPr="7EB5E2B1" w:rsidR="109C3F89">
        <w:rPr>
          <w:rStyle w:val="normaltextrun"/>
          <w:rFonts w:eastAsiaTheme="minorEastAsia"/>
          <w:color w:val="000000" w:themeColor="text1"/>
        </w:rPr>
        <w:t xml:space="preserve"> </w:t>
      </w:r>
      <w:r w:rsidRPr="7EB5E2B1" w:rsidR="00AE18EE">
        <w:rPr>
          <w:rStyle w:val="normaltextrun"/>
          <w:rFonts w:eastAsiaTheme="minorEastAsia"/>
          <w:color w:val="000000" w:themeColor="text1"/>
        </w:rPr>
        <w:t xml:space="preserve">procesorów </w:t>
      </w:r>
      <w:r w:rsidRPr="7EB5E2B1" w:rsidR="04BACF9C">
        <w:rPr>
          <w:rStyle w:val="normaltextrun"/>
          <w:rFonts w:eastAsiaTheme="minorEastAsia"/>
          <w:color w:val="000000" w:themeColor="text1"/>
        </w:rPr>
        <w:t>czy wymiennik</w:t>
      </w:r>
      <w:r w:rsidRPr="7EB5E2B1" w:rsidR="047BF83A">
        <w:rPr>
          <w:rStyle w:val="normaltextrun"/>
          <w:rFonts w:eastAsiaTheme="minorEastAsia"/>
          <w:color w:val="000000" w:themeColor="text1"/>
        </w:rPr>
        <w:t>ów</w:t>
      </w:r>
      <w:r w:rsidRPr="7EB5E2B1" w:rsidR="04BACF9C">
        <w:rPr>
          <w:rStyle w:val="normaltextrun"/>
          <w:rFonts w:eastAsiaTheme="minorEastAsia"/>
          <w:color w:val="000000" w:themeColor="text1"/>
        </w:rPr>
        <w:t xml:space="preserve"> ciepła </w:t>
      </w:r>
      <w:r w:rsidRPr="7EB5E2B1" w:rsidR="1BB34C0D">
        <w:rPr>
          <w:rStyle w:val="normaltextrun"/>
          <w:rFonts w:eastAsiaTheme="minorEastAsia"/>
          <w:color w:val="000000" w:themeColor="text1"/>
        </w:rPr>
        <w:t>na</w:t>
      </w:r>
      <w:r w:rsidRPr="7EB5E2B1" w:rsidR="04BACF9C">
        <w:rPr>
          <w:rStyle w:val="normaltextrun"/>
          <w:rFonts w:eastAsiaTheme="minorEastAsia"/>
          <w:color w:val="000000" w:themeColor="text1"/>
        </w:rPr>
        <w:t xml:space="preserve"> tylnych drzwiach</w:t>
      </w:r>
      <w:r w:rsidRPr="7EB5E2B1" w:rsidR="5130AFBA">
        <w:rPr>
          <w:rStyle w:val="normaltextrun"/>
          <w:rFonts w:eastAsiaTheme="minorEastAsia"/>
          <w:color w:val="000000" w:themeColor="text1"/>
        </w:rPr>
        <w:t xml:space="preserve"> szaf serwerowych</w:t>
      </w:r>
      <w:r w:rsidRPr="7EB5E2B1" w:rsidR="6ACA23A7">
        <w:rPr>
          <w:rStyle w:val="normaltextrun"/>
          <w:rFonts w:eastAsiaTheme="minorEastAsia"/>
          <w:color w:val="000000" w:themeColor="text1"/>
        </w:rPr>
        <w:t>.</w:t>
      </w:r>
      <w:r w:rsidRPr="7EB5E2B1" w:rsidR="64655606">
        <w:rPr>
          <w:rStyle w:val="normaltextrun"/>
          <w:rFonts w:eastAsiaTheme="minorEastAsia"/>
          <w:color w:val="000000" w:themeColor="text1"/>
        </w:rPr>
        <w:t xml:space="preserve"> </w:t>
      </w:r>
      <w:r w:rsidRPr="7EB5E2B1" w:rsidR="619B3D11">
        <w:rPr>
          <w:rStyle w:val="normaltextrun"/>
          <w:rFonts w:eastAsiaTheme="minorEastAsia"/>
          <w:color w:val="000000" w:themeColor="text1"/>
        </w:rPr>
        <w:t>Pierwsze z</w:t>
      </w:r>
      <w:r w:rsidRPr="7EB5E2B1" w:rsidR="64655606">
        <w:rPr>
          <w:rStyle w:val="normaltextrun"/>
          <w:rFonts w:eastAsiaTheme="minorEastAsia"/>
          <w:color w:val="000000" w:themeColor="text1"/>
        </w:rPr>
        <w:t xml:space="preserve"> rozwiąza</w:t>
      </w:r>
      <w:r w:rsidRPr="7EB5E2B1" w:rsidR="683FD789">
        <w:rPr>
          <w:rStyle w:val="normaltextrun"/>
          <w:rFonts w:eastAsiaTheme="minorEastAsia"/>
          <w:color w:val="000000" w:themeColor="text1"/>
        </w:rPr>
        <w:t>ń</w:t>
      </w:r>
      <w:r w:rsidRPr="7EB5E2B1" w:rsidR="64655606">
        <w:rPr>
          <w:rStyle w:val="normaltextrun"/>
          <w:rFonts w:eastAsiaTheme="minorEastAsia"/>
          <w:color w:val="000000" w:themeColor="text1"/>
        </w:rPr>
        <w:t xml:space="preserve"> polega na</w:t>
      </w:r>
      <w:r w:rsidRPr="7EB5E2B1" w:rsidR="758F8108">
        <w:rPr>
          <w:rStyle w:val="normaltextrun"/>
          <w:rFonts w:eastAsiaTheme="minorEastAsia"/>
          <w:color w:val="000000" w:themeColor="text1"/>
        </w:rPr>
        <w:t xml:space="preserve"> umieszczeniu zimnej płyty na </w:t>
      </w:r>
      <w:r w:rsidRPr="7EB5E2B1" w:rsidR="00630536">
        <w:rPr>
          <w:rStyle w:val="normaltextrun"/>
          <w:rFonts w:eastAsiaTheme="minorEastAsia"/>
          <w:color w:val="000000" w:themeColor="text1"/>
        </w:rPr>
        <w:t xml:space="preserve">procesorze </w:t>
      </w:r>
      <w:r w:rsidRPr="7EB5E2B1" w:rsidR="758F8108">
        <w:rPr>
          <w:rStyle w:val="normaltextrun"/>
          <w:rFonts w:eastAsiaTheme="minorEastAsia"/>
          <w:color w:val="000000" w:themeColor="text1"/>
        </w:rPr>
        <w:t xml:space="preserve">wewnątrz serwera. Jest ona wyposażona </w:t>
      </w:r>
      <w:r w:rsidRPr="7EB5E2B1" w:rsidR="6ACA23A7">
        <w:rPr>
          <w:rFonts w:eastAsiaTheme="minorEastAsia"/>
          <w:color w:val="000000" w:themeColor="text1"/>
        </w:rPr>
        <w:t>w kanały umożliwiając</w:t>
      </w:r>
      <w:r w:rsidRPr="7EB5E2B1" w:rsidR="00037975">
        <w:rPr>
          <w:rFonts w:eastAsiaTheme="minorEastAsia"/>
          <w:color w:val="000000" w:themeColor="text1"/>
        </w:rPr>
        <w:t>e</w:t>
      </w:r>
      <w:r w:rsidRPr="7EB5E2B1" w:rsidR="6ACA23A7">
        <w:rPr>
          <w:rFonts w:eastAsiaTheme="minorEastAsia"/>
          <w:color w:val="000000" w:themeColor="text1"/>
        </w:rPr>
        <w:t xml:space="preserve"> przepływ technicznego płynu chłodzącego,</w:t>
      </w:r>
      <w:r w:rsidRPr="7EB5E2B1" w:rsidR="6FAD1CC6">
        <w:rPr>
          <w:rFonts w:eastAsiaTheme="minorEastAsia"/>
          <w:color w:val="000000" w:themeColor="text1"/>
        </w:rPr>
        <w:t xml:space="preserve"> mającego za zadanie</w:t>
      </w:r>
      <w:r w:rsidRPr="7EB5E2B1" w:rsidR="6ACA23A7">
        <w:rPr>
          <w:rFonts w:eastAsiaTheme="minorEastAsia"/>
          <w:color w:val="000000" w:themeColor="text1"/>
        </w:rPr>
        <w:t xml:space="preserve"> o</w:t>
      </w:r>
      <w:r w:rsidRPr="7EB5E2B1" w:rsidR="679184AB">
        <w:rPr>
          <w:rFonts w:eastAsiaTheme="minorEastAsia"/>
          <w:color w:val="000000" w:themeColor="text1"/>
        </w:rPr>
        <w:t>dp</w:t>
      </w:r>
      <w:r w:rsidRPr="7EB5E2B1" w:rsidR="4772D66C">
        <w:rPr>
          <w:rFonts w:eastAsiaTheme="minorEastAsia"/>
          <w:color w:val="000000" w:themeColor="text1"/>
        </w:rPr>
        <w:t xml:space="preserve">rowadzić </w:t>
      </w:r>
      <w:r w:rsidRPr="7EB5E2B1" w:rsidR="6ACA23A7">
        <w:rPr>
          <w:rFonts w:eastAsiaTheme="minorEastAsia"/>
          <w:color w:val="000000" w:themeColor="text1"/>
        </w:rPr>
        <w:t>ciepło. Pozwala to na instalację serwerów</w:t>
      </w:r>
      <w:r w:rsidRPr="7EB5E2B1" w:rsidR="001865F1">
        <w:rPr>
          <w:rFonts w:eastAsiaTheme="minorEastAsia"/>
          <w:color w:val="000000" w:themeColor="text1"/>
        </w:rPr>
        <w:t>,</w:t>
      </w:r>
      <w:r w:rsidRPr="7EB5E2B1" w:rsidR="6ACA23A7">
        <w:rPr>
          <w:rFonts w:eastAsiaTheme="minorEastAsia"/>
          <w:color w:val="000000" w:themeColor="text1"/>
        </w:rPr>
        <w:t xml:space="preserve"> z</w:t>
      </w:r>
      <w:r w:rsidRPr="7EB5E2B1" w:rsidR="0063660F">
        <w:rPr>
          <w:rFonts w:eastAsiaTheme="minorEastAsia"/>
          <w:color w:val="000000" w:themeColor="text1"/>
        </w:rPr>
        <w:t>a</w:t>
      </w:r>
      <w:r w:rsidRPr="7EB5E2B1" w:rsidR="009808EE">
        <w:rPr>
          <w:rFonts w:eastAsiaTheme="minorEastAsia"/>
          <w:color w:val="000000" w:themeColor="text1"/>
        </w:rPr>
        <w:t xml:space="preserve">równo </w:t>
      </w:r>
      <w:r w:rsidRPr="7EB5E2B1" w:rsidR="00014475">
        <w:rPr>
          <w:rFonts w:eastAsiaTheme="minorEastAsia"/>
          <w:color w:val="000000" w:themeColor="text1"/>
        </w:rPr>
        <w:t>chłodz</w:t>
      </w:r>
      <w:r w:rsidRPr="7EB5E2B1" w:rsidR="001865F1">
        <w:rPr>
          <w:rFonts w:eastAsiaTheme="minorEastAsia"/>
          <w:color w:val="000000" w:themeColor="text1"/>
        </w:rPr>
        <w:t>o</w:t>
      </w:r>
      <w:r w:rsidRPr="7EB5E2B1" w:rsidR="00014475">
        <w:rPr>
          <w:rFonts w:eastAsiaTheme="minorEastAsia"/>
          <w:color w:val="000000" w:themeColor="text1"/>
        </w:rPr>
        <w:t>n</w:t>
      </w:r>
      <w:r w:rsidRPr="7EB5E2B1" w:rsidR="00DD74EC">
        <w:rPr>
          <w:rFonts w:eastAsiaTheme="minorEastAsia"/>
          <w:color w:val="000000" w:themeColor="text1"/>
        </w:rPr>
        <w:t>ych</w:t>
      </w:r>
      <w:r w:rsidRPr="7EB5E2B1" w:rsidR="009808EE">
        <w:rPr>
          <w:rFonts w:eastAsiaTheme="minorEastAsia"/>
          <w:color w:val="000000" w:themeColor="text1"/>
        </w:rPr>
        <w:t xml:space="preserve"> cieczą</w:t>
      </w:r>
      <w:r w:rsidRPr="7EB5E2B1" w:rsidR="00101C8E">
        <w:rPr>
          <w:rFonts w:eastAsiaTheme="minorEastAsia"/>
          <w:color w:val="000000" w:themeColor="text1"/>
        </w:rPr>
        <w:t xml:space="preserve"> jak i powietrzem</w:t>
      </w:r>
      <w:r w:rsidRPr="7EB5E2B1" w:rsidR="6ACA23A7">
        <w:rPr>
          <w:rFonts w:eastAsiaTheme="minorEastAsia"/>
          <w:color w:val="000000" w:themeColor="text1"/>
        </w:rPr>
        <w:t xml:space="preserve"> w standardowej szafie IT. </w:t>
      </w:r>
      <w:r w:rsidRPr="7EB5E2B1" w:rsidR="45B99701">
        <w:rPr>
          <w:rFonts w:eastAsiaTheme="minorEastAsia"/>
          <w:color w:val="000000" w:themeColor="text1"/>
        </w:rPr>
        <w:t>Z kolei, w</w:t>
      </w:r>
      <w:r w:rsidRPr="7EB5E2B1" w:rsidR="52FB51DB">
        <w:rPr>
          <w:rFonts w:eastAsiaTheme="minorEastAsia"/>
          <w:color w:val="000000" w:themeColor="text1"/>
        </w:rPr>
        <w:t xml:space="preserve">ymienniki ciepła </w:t>
      </w:r>
      <w:r w:rsidRPr="7EB5E2B1" w:rsidR="1016CC50">
        <w:rPr>
          <w:rFonts w:eastAsiaTheme="minorEastAsia"/>
          <w:color w:val="000000" w:themeColor="text1"/>
        </w:rPr>
        <w:t>na</w:t>
      </w:r>
      <w:r w:rsidRPr="7EB5E2B1" w:rsidR="52FB51DB">
        <w:rPr>
          <w:rFonts w:eastAsiaTheme="minorEastAsia"/>
          <w:color w:val="000000" w:themeColor="text1"/>
        </w:rPr>
        <w:t xml:space="preserve"> tylnych drzwiach</w:t>
      </w:r>
      <w:r w:rsidRPr="7EB5E2B1" w:rsidR="1CAFB0B9">
        <w:rPr>
          <w:rFonts w:eastAsiaTheme="minorEastAsia"/>
          <w:color w:val="000000" w:themeColor="text1"/>
        </w:rPr>
        <w:t xml:space="preserve"> szaf serwerowych</w:t>
      </w:r>
      <w:r w:rsidRPr="7EB5E2B1" w:rsidR="6ACA23A7">
        <w:rPr>
          <w:rFonts w:eastAsiaTheme="minorEastAsia"/>
          <w:color w:val="000000" w:themeColor="text1"/>
        </w:rPr>
        <w:t xml:space="preserve"> wykorzystują wężownicę chłodzącą i wentylatory do wychwytywania ciepła ze sprzętu IT chłodzonego powietrzem. Są one montowane bezpośrednio w szafach klienta, dzięki czemu </w:t>
      </w:r>
      <w:r w:rsidRPr="7EB5E2B1" w:rsidR="7EF0A602">
        <w:rPr>
          <w:rFonts w:eastAsiaTheme="minorEastAsia"/>
          <w:color w:val="000000" w:themeColor="text1"/>
        </w:rPr>
        <w:t xml:space="preserve">mogą poradzić sobie z </w:t>
      </w:r>
      <w:r w:rsidRPr="7EB5E2B1" w:rsidR="6ACA23A7">
        <w:rPr>
          <w:rFonts w:eastAsiaTheme="minorEastAsia"/>
          <w:color w:val="000000" w:themeColor="text1"/>
        </w:rPr>
        <w:t>większymi obciążeniami niż konwencjonalne chłodzenie.</w:t>
      </w:r>
    </w:p>
    <w:p w:rsidRPr="00037975" w:rsidR="2B1C8DF8" w:rsidP="72817073" w:rsidRDefault="2B1C8DF8" w14:paraId="7A5CCDB6" w14:textId="1F3A364A">
      <w:pPr>
        <w:jc w:val="both"/>
        <w:rPr>
          <w:rFonts w:eastAsiaTheme="minorEastAsia"/>
          <w:color w:val="000000" w:themeColor="text1"/>
        </w:rPr>
      </w:pPr>
      <w:r w:rsidRPr="72817073">
        <w:rPr>
          <w:rStyle w:val="normaltextrun"/>
          <w:rFonts w:eastAsiaTheme="minorEastAsia"/>
          <w:color w:val="000000" w:themeColor="text1"/>
        </w:rPr>
        <w:t>Rozszerza to aktualny zakres oferty</w:t>
      </w:r>
      <w:r w:rsidRPr="72817073" w:rsidR="7AC1D2D9">
        <w:rPr>
          <w:rStyle w:val="normaltextrun"/>
          <w:rFonts w:eastAsiaTheme="minorEastAsia"/>
          <w:color w:val="000000" w:themeColor="text1"/>
        </w:rPr>
        <w:t xml:space="preserve"> Equinix, która obejmuje już chłodzenie za</w:t>
      </w:r>
      <w:r w:rsidRPr="72817073" w:rsidR="71B33FF2">
        <w:rPr>
          <w:rStyle w:val="normaltextrun"/>
          <w:rFonts w:eastAsiaTheme="minorEastAsia"/>
          <w:color w:val="000000" w:themeColor="text1"/>
        </w:rPr>
        <w:t xml:space="preserve"> pomocą wbudowanych w szafę wymienników ciepła w prawie każdym IBX</w:t>
      </w:r>
      <w:r w:rsidRPr="72817073" w:rsidR="75A0D9E0">
        <w:rPr>
          <w:rStyle w:val="normaltextrun"/>
          <w:rFonts w:eastAsiaTheme="minorEastAsia"/>
          <w:color w:val="000000" w:themeColor="text1"/>
        </w:rPr>
        <w:t xml:space="preserve"> oraz z</w:t>
      </w:r>
      <w:r w:rsidRPr="72817073" w:rsidR="54852A41">
        <w:rPr>
          <w:rStyle w:val="normaltextrun"/>
          <w:rFonts w:eastAsiaTheme="minorEastAsia"/>
          <w:color w:val="000000" w:themeColor="text1"/>
        </w:rPr>
        <w:t xml:space="preserve">apewnia </w:t>
      </w:r>
      <w:r w:rsidRPr="72817073" w:rsidR="75A0D9E0">
        <w:rPr>
          <w:rStyle w:val="normaltextrun"/>
          <w:rFonts w:eastAsiaTheme="minorEastAsia"/>
          <w:color w:val="000000" w:themeColor="text1"/>
        </w:rPr>
        <w:t xml:space="preserve">dostęp do najbardziej wydajnych rozwiązań. </w:t>
      </w:r>
      <w:r w:rsidRPr="72817073" w:rsidR="75A0D9E0">
        <w:rPr>
          <w:rStyle w:val="normaltextrun"/>
          <w:rFonts w:eastAsiaTheme="minorEastAsia"/>
          <w:b/>
          <w:bCs/>
          <w:color w:val="000000" w:themeColor="text1"/>
        </w:rPr>
        <w:t>Equinix zachowuje dużą elastyczność podczas wdrożenia, dlatego klienci mogą korzystać z usług preferowanego przez nich dostawcy sprzętu</w:t>
      </w:r>
      <w:r w:rsidRPr="72817073" w:rsidR="00037975">
        <w:rPr>
          <w:rStyle w:val="normaltextrun"/>
          <w:rFonts w:eastAsiaTheme="minorEastAsia"/>
          <w:color w:val="000000" w:themeColor="text1"/>
        </w:rPr>
        <w:t>.</w:t>
      </w:r>
    </w:p>
    <w:p w:rsidRPr="00037975" w:rsidR="659680C1" w:rsidP="4B529AC8" w:rsidRDefault="659680C1" w14:paraId="1FEF7562" w14:textId="5EE15D9D">
      <w:pPr>
        <w:ind w:left="708"/>
        <w:jc w:val="both"/>
        <w:rPr>
          <w:rFonts w:ascii="Calibri" w:hAnsi="Calibri" w:eastAsia="Calibri" w:cs="Calibri"/>
        </w:rPr>
      </w:pPr>
      <w:r w:rsidRPr="7EB5E2B1">
        <w:rPr>
          <w:rFonts w:eastAsiaTheme="minorEastAsia"/>
          <w:i/>
          <w:iCs/>
          <w:color w:val="000000" w:themeColor="text1"/>
        </w:rPr>
        <w:t>Widzimy, że z roku na rok zwiększa się rola centrów danych</w:t>
      </w:r>
      <w:r w:rsidRPr="7EB5E2B1" w:rsidR="5A695D02">
        <w:rPr>
          <w:rFonts w:eastAsiaTheme="minorEastAsia"/>
          <w:i/>
          <w:iCs/>
          <w:color w:val="000000" w:themeColor="text1"/>
        </w:rPr>
        <w:t xml:space="preserve"> w biznesie</w:t>
      </w:r>
      <w:r w:rsidRPr="7EB5E2B1">
        <w:rPr>
          <w:rFonts w:eastAsiaTheme="minorEastAsia"/>
          <w:i/>
          <w:iCs/>
          <w:color w:val="000000" w:themeColor="text1"/>
        </w:rPr>
        <w:t xml:space="preserve">. Są one niezbędne dla prawidłowego </w:t>
      </w:r>
      <w:r w:rsidRPr="7EB5E2B1" w:rsidR="1D04F48D">
        <w:rPr>
          <w:rFonts w:eastAsiaTheme="minorEastAsia"/>
          <w:i/>
          <w:iCs/>
          <w:color w:val="000000" w:themeColor="text1"/>
        </w:rPr>
        <w:t xml:space="preserve">funkcjonowania </w:t>
      </w:r>
      <w:r w:rsidRPr="7EB5E2B1">
        <w:rPr>
          <w:rFonts w:eastAsiaTheme="minorEastAsia"/>
          <w:i/>
          <w:iCs/>
          <w:color w:val="000000" w:themeColor="text1"/>
        </w:rPr>
        <w:t>współczesne</w:t>
      </w:r>
      <w:r w:rsidRPr="7EB5E2B1" w:rsidR="6CCC6D50">
        <w:rPr>
          <w:rFonts w:eastAsiaTheme="minorEastAsia"/>
          <w:i/>
          <w:iCs/>
          <w:color w:val="000000" w:themeColor="text1"/>
        </w:rPr>
        <w:t>j gospodarki</w:t>
      </w:r>
      <w:r w:rsidRPr="7EB5E2B1">
        <w:rPr>
          <w:rFonts w:eastAsiaTheme="minorEastAsia"/>
          <w:i/>
          <w:iCs/>
          <w:color w:val="000000" w:themeColor="text1"/>
        </w:rPr>
        <w:t>, któr</w:t>
      </w:r>
      <w:r w:rsidRPr="7EB5E2B1" w:rsidR="0E6DBBE1">
        <w:rPr>
          <w:rFonts w:eastAsiaTheme="minorEastAsia"/>
          <w:i/>
          <w:iCs/>
          <w:color w:val="000000" w:themeColor="text1"/>
        </w:rPr>
        <w:t xml:space="preserve">a w coraz </w:t>
      </w:r>
      <w:r w:rsidRPr="7EB5E2B1" w:rsidR="3FB28DE8">
        <w:rPr>
          <w:rFonts w:eastAsiaTheme="minorEastAsia"/>
          <w:i/>
          <w:iCs/>
          <w:color w:val="000000" w:themeColor="text1"/>
        </w:rPr>
        <w:t xml:space="preserve">istotniejszym </w:t>
      </w:r>
      <w:r w:rsidRPr="7EB5E2B1" w:rsidR="0E6DBBE1">
        <w:rPr>
          <w:rFonts w:eastAsiaTheme="minorEastAsia"/>
          <w:i/>
          <w:iCs/>
          <w:color w:val="000000" w:themeColor="text1"/>
        </w:rPr>
        <w:t>stopniu opiera się na</w:t>
      </w:r>
      <w:r w:rsidRPr="7EB5E2B1" w:rsidR="618C3E00">
        <w:rPr>
          <w:rFonts w:eastAsiaTheme="minorEastAsia"/>
          <w:i/>
          <w:iCs/>
          <w:color w:val="000000" w:themeColor="text1"/>
        </w:rPr>
        <w:t xml:space="preserve"> nowoczesnych </w:t>
      </w:r>
      <w:r w:rsidRPr="7EB5E2B1">
        <w:rPr>
          <w:rFonts w:eastAsiaTheme="minorEastAsia"/>
          <w:i/>
          <w:iCs/>
          <w:color w:val="000000" w:themeColor="text1"/>
        </w:rPr>
        <w:t>rozwiąza</w:t>
      </w:r>
      <w:r w:rsidRPr="7EB5E2B1" w:rsidR="729FD00D">
        <w:rPr>
          <w:rFonts w:eastAsiaTheme="minorEastAsia"/>
          <w:i/>
          <w:iCs/>
          <w:color w:val="000000" w:themeColor="text1"/>
        </w:rPr>
        <w:t>niach</w:t>
      </w:r>
      <w:r w:rsidRPr="7EB5E2B1">
        <w:rPr>
          <w:rFonts w:eastAsiaTheme="minorEastAsia"/>
          <w:i/>
          <w:iCs/>
          <w:color w:val="000000" w:themeColor="text1"/>
        </w:rPr>
        <w:t xml:space="preserve"> </w:t>
      </w:r>
      <w:r w:rsidRPr="7EB5E2B1" w:rsidR="0F93583D">
        <w:rPr>
          <w:rFonts w:eastAsiaTheme="minorEastAsia"/>
          <w:i/>
          <w:iCs/>
          <w:color w:val="000000" w:themeColor="text1"/>
        </w:rPr>
        <w:t xml:space="preserve">wymagających </w:t>
      </w:r>
      <w:r w:rsidRPr="7EB5E2B1" w:rsidR="0F93583D">
        <w:rPr>
          <w:rStyle w:val="normaltextrun"/>
          <w:rFonts w:eastAsiaTheme="minorEastAsia"/>
          <w:color w:val="000000" w:themeColor="text1"/>
        </w:rPr>
        <w:t>dużej mocy obliczeniowej</w:t>
      </w:r>
      <w:r w:rsidR="00334C7F">
        <w:rPr>
          <w:rFonts w:eastAsiaTheme="minorEastAsia"/>
          <w:i/>
          <w:iCs/>
          <w:color w:val="000000" w:themeColor="text1"/>
        </w:rPr>
        <w:t>. Ponadto wsparcie narzędzi oraz rozwiązań</w:t>
      </w:r>
      <w:r w:rsidRPr="7EB5E2B1">
        <w:rPr>
          <w:rFonts w:eastAsiaTheme="minorEastAsia"/>
          <w:i/>
          <w:iCs/>
          <w:color w:val="000000" w:themeColor="text1"/>
        </w:rPr>
        <w:t xml:space="preserve"> takich jak </w:t>
      </w:r>
      <w:r w:rsidR="00334C7F">
        <w:rPr>
          <w:rFonts w:eastAsiaTheme="minorEastAsia"/>
          <w:i/>
          <w:iCs/>
          <w:color w:val="000000" w:themeColor="text1"/>
        </w:rPr>
        <w:t xml:space="preserve">np. </w:t>
      </w:r>
      <w:r w:rsidRPr="7EB5E2B1">
        <w:rPr>
          <w:rFonts w:eastAsiaTheme="minorEastAsia"/>
          <w:i/>
          <w:iCs/>
          <w:color w:val="000000" w:themeColor="text1"/>
        </w:rPr>
        <w:t>sztuczna inteligencja</w:t>
      </w:r>
      <w:r w:rsidR="00334C7F">
        <w:rPr>
          <w:rFonts w:eastAsiaTheme="minorEastAsia"/>
          <w:i/>
          <w:iCs/>
          <w:color w:val="000000" w:themeColor="text1"/>
        </w:rPr>
        <w:t xml:space="preserve"> jeszcze bardziej zwiększa zapotrzebowanie na rosnącą moc obliczeniową</w:t>
      </w:r>
      <w:r w:rsidRPr="7EB5E2B1">
        <w:rPr>
          <w:rFonts w:eastAsiaTheme="minorEastAsia"/>
          <w:i/>
          <w:iCs/>
          <w:color w:val="000000" w:themeColor="text1"/>
        </w:rPr>
        <w:t xml:space="preserve">. </w:t>
      </w:r>
      <w:r w:rsidRPr="7EB5E2B1" w:rsidR="322B5016">
        <w:rPr>
          <w:rFonts w:eastAsiaTheme="minorEastAsia"/>
          <w:i/>
          <w:iCs/>
          <w:color w:val="000000" w:themeColor="text1"/>
        </w:rPr>
        <w:t xml:space="preserve">Paliwem dla </w:t>
      </w:r>
      <w:r w:rsidRPr="7EB5E2B1">
        <w:rPr>
          <w:rFonts w:eastAsiaTheme="minorEastAsia"/>
          <w:i/>
          <w:iCs/>
          <w:color w:val="000000" w:themeColor="text1"/>
        </w:rPr>
        <w:t xml:space="preserve">AI </w:t>
      </w:r>
      <w:r w:rsidRPr="7EB5E2B1" w:rsidR="2E03FED6">
        <w:rPr>
          <w:rFonts w:eastAsiaTheme="minorEastAsia"/>
          <w:i/>
          <w:iCs/>
          <w:color w:val="000000" w:themeColor="text1"/>
        </w:rPr>
        <w:t>są dane, które należy odpowiednio przechowywać</w:t>
      </w:r>
      <w:r w:rsidRPr="7EB5E2B1" w:rsidR="40F0EBCA">
        <w:rPr>
          <w:rFonts w:eastAsiaTheme="minorEastAsia"/>
          <w:i/>
          <w:iCs/>
          <w:color w:val="000000" w:themeColor="text1"/>
        </w:rPr>
        <w:t xml:space="preserve">, dlatego </w:t>
      </w:r>
      <w:r w:rsidRPr="7EB5E2B1" w:rsidR="6C9F1BF0">
        <w:rPr>
          <w:rFonts w:eastAsiaTheme="minorEastAsia"/>
          <w:i/>
          <w:iCs/>
          <w:color w:val="000000" w:themeColor="text1"/>
        </w:rPr>
        <w:t xml:space="preserve">stale udoskonalamy sposób działania naszych centrów danych. Zauważyliśmy rosnącą potrzebę korzystania z systemów chłodzenia </w:t>
      </w:r>
      <w:r w:rsidRPr="7EB5E2B1" w:rsidR="38F782F8">
        <w:rPr>
          <w:rFonts w:eastAsiaTheme="minorEastAsia"/>
          <w:i/>
          <w:iCs/>
          <w:color w:val="000000" w:themeColor="text1"/>
        </w:rPr>
        <w:t xml:space="preserve">cieczą </w:t>
      </w:r>
      <w:r w:rsidRPr="7EB5E2B1" w:rsidR="06730B35">
        <w:rPr>
          <w:rFonts w:eastAsiaTheme="minorEastAsia"/>
          <w:i/>
          <w:iCs/>
          <w:color w:val="000000" w:themeColor="text1"/>
        </w:rPr>
        <w:t>ze względu na ich wydajność</w:t>
      </w:r>
      <w:r w:rsidRPr="7EB5E2B1" w:rsidR="3FA893E3">
        <w:rPr>
          <w:rFonts w:eastAsiaTheme="minorEastAsia"/>
          <w:i/>
          <w:iCs/>
          <w:color w:val="000000" w:themeColor="text1"/>
        </w:rPr>
        <w:t xml:space="preserve">, dlatego </w:t>
      </w:r>
      <w:r w:rsidRPr="7EB5E2B1" w:rsidR="7E4D7914">
        <w:rPr>
          <w:rFonts w:eastAsiaTheme="minorEastAsia"/>
          <w:i/>
          <w:iCs/>
          <w:color w:val="000000" w:themeColor="text1"/>
        </w:rPr>
        <w:t xml:space="preserve">planujemy rozszerzać wsparcie techniczne dla centrów </w:t>
      </w:r>
      <w:r w:rsidRPr="7EB5E2B1" w:rsidR="3FA893E3">
        <w:rPr>
          <w:rFonts w:eastAsiaTheme="minorEastAsia"/>
          <w:i/>
          <w:iCs/>
          <w:color w:val="000000" w:themeColor="text1"/>
        </w:rPr>
        <w:t>w</w:t>
      </w:r>
      <w:r w:rsidRPr="7EB5E2B1" w:rsidR="2B967BD8">
        <w:rPr>
          <w:rFonts w:eastAsiaTheme="minorEastAsia"/>
          <w:i/>
          <w:iCs/>
          <w:color w:val="000000" w:themeColor="text1"/>
        </w:rPr>
        <w:t xml:space="preserve"> naszych</w:t>
      </w:r>
      <w:r w:rsidRPr="7EB5E2B1" w:rsidR="3FA893E3">
        <w:rPr>
          <w:rFonts w:eastAsiaTheme="minorEastAsia"/>
          <w:i/>
          <w:iCs/>
          <w:color w:val="000000" w:themeColor="text1"/>
        </w:rPr>
        <w:t xml:space="preserve"> </w:t>
      </w:r>
      <w:r w:rsidRPr="7EB5E2B1" w:rsidR="5D9FEBAD">
        <w:rPr>
          <w:rFonts w:eastAsiaTheme="minorEastAsia"/>
          <w:i/>
          <w:iCs/>
          <w:color w:val="000000" w:themeColor="text1"/>
        </w:rPr>
        <w:t xml:space="preserve">strategicznych </w:t>
      </w:r>
      <w:r w:rsidRPr="7EB5E2B1" w:rsidR="3FA893E3">
        <w:rPr>
          <w:rFonts w:eastAsiaTheme="minorEastAsia"/>
          <w:i/>
          <w:iCs/>
          <w:color w:val="000000" w:themeColor="text1"/>
        </w:rPr>
        <w:t>lokalizacjach</w:t>
      </w:r>
      <w:r w:rsidRPr="7EB5E2B1" w:rsidR="6E195CCF">
        <w:rPr>
          <w:rFonts w:eastAsiaTheme="minorEastAsia"/>
          <w:i/>
          <w:iCs/>
          <w:color w:val="000000" w:themeColor="text1"/>
        </w:rPr>
        <w:t>. W ten sposób zapewniamy</w:t>
      </w:r>
      <w:r w:rsidR="00334C7F">
        <w:rPr>
          <w:rFonts w:eastAsiaTheme="minorEastAsia"/>
          <w:i/>
          <w:iCs/>
          <w:color w:val="000000" w:themeColor="text1"/>
        </w:rPr>
        <w:t xml:space="preserve"> naszym obecnym oraz nowym </w:t>
      </w:r>
      <w:r w:rsidR="00334C7F">
        <w:rPr>
          <w:rFonts w:eastAsiaTheme="minorEastAsia"/>
          <w:i/>
          <w:iCs/>
          <w:color w:val="000000" w:themeColor="text1"/>
        </w:rPr>
        <w:lastRenderedPageBreak/>
        <w:t>klientom</w:t>
      </w:r>
      <w:r w:rsidRPr="7EB5E2B1" w:rsidR="6E195CCF">
        <w:rPr>
          <w:rFonts w:eastAsiaTheme="minorEastAsia"/>
          <w:i/>
          <w:iCs/>
          <w:color w:val="000000" w:themeColor="text1"/>
        </w:rPr>
        <w:t xml:space="preserve"> możliwość dalszego rozwoju ich projektów</w:t>
      </w:r>
      <w:r w:rsidRPr="7EB5E2B1" w:rsidR="5D3B1D08">
        <w:rPr>
          <w:rFonts w:eastAsiaTheme="minorEastAsia"/>
          <w:i/>
          <w:iCs/>
          <w:color w:val="000000" w:themeColor="text1"/>
        </w:rPr>
        <w:t xml:space="preserve"> oraz efektywne i zrównoważone korzystanie ze sprzętu pochodzącego od różnych dostawców w dowolnym środowisku centrum danych</w:t>
      </w:r>
      <w:r w:rsidRPr="7EB5E2B1" w:rsidR="63926511">
        <w:rPr>
          <w:rFonts w:eastAsiaTheme="minorEastAsia"/>
          <w:i/>
          <w:iCs/>
          <w:color w:val="000000" w:themeColor="text1"/>
        </w:rPr>
        <w:t xml:space="preserve"> </w:t>
      </w:r>
      <w:r w:rsidRPr="7EB5E2B1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– </w:t>
      </w:r>
      <w:r w:rsidRPr="7EB5E2B1">
        <w:rPr>
          <w:rStyle w:val="normaltextrun"/>
          <w:rFonts w:ascii="Calibri" w:hAnsi="Calibri" w:eastAsia="Calibri" w:cs="Calibri"/>
          <w:color w:val="000000" w:themeColor="text1"/>
        </w:rPr>
        <w:t>podkreśla Sylwia Pyśkiewicz, dyrektor zarządzająca Equinix w Polsce.</w:t>
      </w:r>
    </w:p>
    <w:p w:rsidRPr="00037975" w:rsidR="61F8988C" w:rsidP="7EB5E2B1" w:rsidRDefault="23377C43" w14:paraId="51FAB556" w14:textId="24D59EDE">
      <w:pPr>
        <w:jc w:val="both"/>
        <w:rPr>
          <w:rFonts w:eastAsiaTheme="minorEastAsia"/>
          <w:color w:val="000000" w:themeColor="text1"/>
        </w:rPr>
      </w:pPr>
      <w:r w:rsidRPr="7EB5E2B1">
        <w:rPr>
          <w:rFonts w:eastAsiaTheme="minorEastAsia"/>
          <w:color w:val="000000" w:themeColor="text1"/>
        </w:rPr>
        <w:t>Equinix od lat wspiera organizacje we wdrażaniu systemów</w:t>
      </w:r>
      <w:r w:rsidRPr="7EB5E2B1" w:rsidR="6D204023">
        <w:rPr>
          <w:rFonts w:eastAsiaTheme="minorEastAsia"/>
          <w:color w:val="000000" w:themeColor="text1"/>
        </w:rPr>
        <w:t xml:space="preserve"> chłodzenia </w:t>
      </w:r>
      <w:r w:rsidRPr="7EB5E2B1" w:rsidR="76572478">
        <w:rPr>
          <w:rFonts w:eastAsiaTheme="minorEastAsia"/>
          <w:color w:val="000000" w:themeColor="text1"/>
        </w:rPr>
        <w:t>cieczą</w:t>
      </w:r>
      <w:r w:rsidRPr="7EB5E2B1" w:rsidR="6D204023">
        <w:rPr>
          <w:rFonts w:eastAsiaTheme="minorEastAsia"/>
          <w:color w:val="000000" w:themeColor="text1"/>
        </w:rPr>
        <w:t>. M</w:t>
      </w:r>
      <w:r w:rsidRPr="7EB5E2B1" w:rsidR="54B1A762">
        <w:rPr>
          <w:rFonts w:eastAsiaTheme="minorEastAsia"/>
          <w:color w:val="000000" w:themeColor="text1"/>
        </w:rPr>
        <w:t xml:space="preserve">arka dysponuje niezbędnym </w:t>
      </w:r>
      <w:r w:rsidRPr="7EB5E2B1" w:rsidR="6D204023">
        <w:rPr>
          <w:rFonts w:eastAsiaTheme="minorEastAsia"/>
          <w:color w:val="000000" w:themeColor="text1"/>
        </w:rPr>
        <w:t>doświadczenie</w:t>
      </w:r>
      <w:r w:rsidRPr="7EB5E2B1" w:rsidR="564D5C97">
        <w:rPr>
          <w:rFonts w:eastAsiaTheme="minorEastAsia"/>
          <w:color w:val="000000" w:themeColor="text1"/>
        </w:rPr>
        <w:t>m</w:t>
      </w:r>
      <w:r w:rsidRPr="7EB5E2B1" w:rsidR="6D204023">
        <w:rPr>
          <w:rFonts w:eastAsiaTheme="minorEastAsia"/>
          <w:color w:val="000000" w:themeColor="text1"/>
        </w:rPr>
        <w:t xml:space="preserve"> i wiedz</w:t>
      </w:r>
      <w:r w:rsidRPr="7EB5E2B1" w:rsidR="09A25E62">
        <w:rPr>
          <w:rFonts w:eastAsiaTheme="minorEastAsia"/>
          <w:color w:val="000000" w:themeColor="text1"/>
        </w:rPr>
        <w:t>ą</w:t>
      </w:r>
      <w:r w:rsidRPr="7EB5E2B1" w:rsidR="6D204023">
        <w:rPr>
          <w:rFonts w:eastAsiaTheme="minorEastAsia"/>
          <w:color w:val="000000" w:themeColor="text1"/>
        </w:rPr>
        <w:t xml:space="preserve">, aby </w:t>
      </w:r>
      <w:r w:rsidRPr="7EB5E2B1" w:rsidR="7E42A040">
        <w:rPr>
          <w:rFonts w:eastAsiaTheme="minorEastAsia"/>
          <w:color w:val="000000" w:themeColor="text1"/>
        </w:rPr>
        <w:t>zwiększać</w:t>
      </w:r>
      <w:r w:rsidRPr="7EB5E2B1" w:rsidR="6D204023">
        <w:rPr>
          <w:rFonts w:eastAsiaTheme="minorEastAsia"/>
          <w:color w:val="000000" w:themeColor="text1"/>
        </w:rPr>
        <w:t xml:space="preserve"> pojemności centrów danych,</w:t>
      </w:r>
      <w:r w:rsidRPr="7EB5E2B1" w:rsidR="68FDE721">
        <w:rPr>
          <w:rFonts w:eastAsiaTheme="minorEastAsia"/>
          <w:color w:val="000000" w:themeColor="text1"/>
        </w:rPr>
        <w:t xml:space="preserve"> co w efekcie </w:t>
      </w:r>
      <w:r w:rsidRPr="7EB5E2B1" w:rsidR="57D8C313">
        <w:rPr>
          <w:rFonts w:eastAsiaTheme="minorEastAsia"/>
          <w:color w:val="000000" w:themeColor="text1"/>
        </w:rPr>
        <w:t xml:space="preserve">przekłada </w:t>
      </w:r>
      <w:r w:rsidRPr="7EB5E2B1" w:rsidR="68FDE721">
        <w:rPr>
          <w:rFonts w:eastAsiaTheme="minorEastAsia"/>
          <w:color w:val="000000" w:themeColor="text1"/>
        </w:rPr>
        <w:t>się na wydajniejszą obsługę</w:t>
      </w:r>
      <w:r w:rsidRPr="7EB5E2B1" w:rsidR="6D204023">
        <w:rPr>
          <w:rFonts w:eastAsiaTheme="minorEastAsia"/>
          <w:color w:val="000000" w:themeColor="text1"/>
        </w:rPr>
        <w:t>, nowoczesn</w:t>
      </w:r>
      <w:r w:rsidRPr="7EB5E2B1" w:rsidR="616C5133">
        <w:rPr>
          <w:rFonts w:eastAsiaTheme="minorEastAsia"/>
          <w:color w:val="000000" w:themeColor="text1"/>
        </w:rPr>
        <w:t>ych</w:t>
      </w:r>
      <w:r w:rsidRPr="7EB5E2B1" w:rsidR="6D204023">
        <w:rPr>
          <w:rFonts w:eastAsiaTheme="minorEastAsia"/>
          <w:color w:val="000000" w:themeColor="text1"/>
        </w:rPr>
        <w:t xml:space="preserve"> system</w:t>
      </w:r>
      <w:r w:rsidRPr="7EB5E2B1" w:rsidR="1027548B">
        <w:rPr>
          <w:rFonts w:eastAsiaTheme="minorEastAsia"/>
          <w:color w:val="000000" w:themeColor="text1"/>
        </w:rPr>
        <w:t>ów</w:t>
      </w:r>
      <w:r w:rsidRPr="7EB5E2B1" w:rsidR="6D204023">
        <w:rPr>
          <w:rFonts w:eastAsiaTheme="minorEastAsia"/>
          <w:color w:val="000000" w:themeColor="text1"/>
        </w:rPr>
        <w:t xml:space="preserve"> IT, taki</w:t>
      </w:r>
      <w:r w:rsidRPr="7EB5E2B1" w:rsidR="203F607C">
        <w:rPr>
          <w:rFonts w:eastAsiaTheme="minorEastAsia"/>
          <w:color w:val="000000" w:themeColor="text1"/>
        </w:rPr>
        <w:t xml:space="preserve">ch </w:t>
      </w:r>
      <w:r w:rsidRPr="7EB5E2B1" w:rsidR="6D204023">
        <w:rPr>
          <w:rFonts w:eastAsiaTheme="minorEastAsia"/>
          <w:color w:val="000000" w:themeColor="text1"/>
        </w:rPr>
        <w:t>jak sztuczna inteligencja.</w:t>
      </w:r>
      <w:r w:rsidRPr="7EB5E2B1" w:rsidR="589DE0A0">
        <w:rPr>
          <w:rFonts w:eastAsiaTheme="minorEastAsia"/>
          <w:color w:val="000000" w:themeColor="text1"/>
        </w:rPr>
        <w:t xml:space="preserve"> </w:t>
      </w:r>
      <w:r w:rsidRPr="7EB5E2B1" w:rsidR="6A0D1AA1">
        <w:rPr>
          <w:rFonts w:eastAsiaTheme="minorEastAsia"/>
          <w:color w:val="000000" w:themeColor="text1"/>
        </w:rPr>
        <w:t>Equinix</w:t>
      </w:r>
      <w:r w:rsidRPr="7EB5E2B1" w:rsidR="6C616AA2">
        <w:rPr>
          <w:rFonts w:eastAsiaTheme="minorEastAsia"/>
          <w:color w:val="000000" w:themeColor="text1"/>
        </w:rPr>
        <w:t xml:space="preserve"> w</w:t>
      </w:r>
      <w:r w:rsidRPr="7EB5E2B1" w:rsidR="38BE342D">
        <w:rPr>
          <w:rFonts w:eastAsiaTheme="minorEastAsia"/>
          <w:color w:val="000000" w:themeColor="text1"/>
        </w:rPr>
        <w:t xml:space="preserve"> zrównoważony sposób podchodzi do technologii chłodzenia </w:t>
      </w:r>
      <w:r w:rsidRPr="7EB5E2B1" w:rsidR="76BA569C">
        <w:rPr>
          <w:rFonts w:eastAsiaTheme="minorEastAsia"/>
          <w:color w:val="000000" w:themeColor="text1"/>
        </w:rPr>
        <w:t>cieczą</w:t>
      </w:r>
      <w:r w:rsidRPr="7EB5E2B1" w:rsidR="38BE342D">
        <w:rPr>
          <w:rFonts w:eastAsiaTheme="minorEastAsia"/>
          <w:color w:val="000000" w:themeColor="text1"/>
        </w:rPr>
        <w:t xml:space="preserve">, dzięki czemu </w:t>
      </w:r>
      <w:r w:rsidRPr="7EB5E2B1" w:rsidR="1F056F66">
        <w:rPr>
          <w:rFonts w:eastAsiaTheme="minorEastAsia"/>
          <w:color w:val="000000" w:themeColor="text1"/>
        </w:rPr>
        <w:t>może</w:t>
      </w:r>
      <w:r w:rsidRPr="7EB5E2B1" w:rsidR="38BE342D">
        <w:rPr>
          <w:rFonts w:eastAsiaTheme="minorEastAsia"/>
          <w:color w:val="000000" w:themeColor="text1"/>
        </w:rPr>
        <w:t xml:space="preserve"> wyeliminować tarcia związane z wdrażaniem tych rozwiązań w korporacyjnych centrach danych.</w:t>
      </w:r>
    </w:p>
    <w:p w:rsidRPr="00037975" w:rsidR="382E3F24" w:rsidP="4B529AC8" w:rsidRDefault="2E178315" w14:paraId="3F88BDE7" w14:textId="4BBF2DCD">
      <w:pPr>
        <w:ind w:left="708"/>
        <w:jc w:val="both"/>
        <w:rPr>
          <w:rFonts w:ascii="Calibri" w:hAnsi="Calibri" w:eastAsia="Calibri" w:cs="Calibri"/>
        </w:rPr>
      </w:pPr>
      <w:r w:rsidRPr="7EB5E2B1">
        <w:rPr>
          <w:rFonts w:eastAsiaTheme="minorEastAsia"/>
          <w:i/>
          <w:iCs/>
          <w:color w:val="000000" w:themeColor="text1"/>
        </w:rPr>
        <w:t>Ostatnie lata doprowadziły do demokratyzacji dostępu do sztucznej inteligencji, w związku z czym coraz więcej firm sięga po rozwiązania oparte na zaawansowanych algorytmach, aby zwiększyć produktywność.</w:t>
      </w:r>
      <w:r w:rsidRPr="7EB5E2B1" w:rsidR="52757143">
        <w:rPr>
          <w:rFonts w:eastAsiaTheme="minorEastAsia"/>
          <w:i/>
          <w:iCs/>
          <w:color w:val="000000" w:themeColor="text1"/>
        </w:rPr>
        <w:t xml:space="preserve"> Jednak, aby </w:t>
      </w:r>
      <w:r w:rsidRPr="7EB5E2B1" w:rsidR="111A5675">
        <w:rPr>
          <w:rFonts w:eastAsiaTheme="minorEastAsia"/>
          <w:i/>
          <w:iCs/>
          <w:color w:val="000000" w:themeColor="text1"/>
        </w:rPr>
        <w:t xml:space="preserve">w pełni </w:t>
      </w:r>
      <w:r w:rsidRPr="7EB5E2B1" w:rsidR="52757143">
        <w:rPr>
          <w:rFonts w:eastAsiaTheme="minorEastAsia"/>
          <w:i/>
          <w:iCs/>
          <w:color w:val="000000" w:themeColor="text1"/>
        </w:rPr>
        <w:t>wykorzystać potencjał AI, potrzeba wydajnych powierzchni serwerowych, mogących wesprzeć prz</w:t>
      </w:r>
      <w:r w:rsidRPr="7EB5E2B1" w:rsidR="7E6AC56A">
        <w:rPr>
          <w:rFonts w:eastAsiaTheme="minorEastAsia"/>
          <w:i/>
          <w:iCs/>
          <w:color w:val="000000" w:themeColor="text1"/>
        </w:rPr>
        <w:t>etwarzanie ogromnych zbiorów danych</w:t>
      </w:r>
      <w:r w:rsidRPr="7EB5E2B1" w:rsidR="3D0FAA9C">
        <w:rPr>
          <w:rFonts w:eastAsiaTheme="minorEastAsia"/>
          <w:i/>
          <w:iCs/>
          <w:color w:val="000000" w:themeColor="text1"/>
        </w:rPr>
        <w:t>.</w:t>
      </w:r>
      <w:r w:rsidRPr="7EB5E2B1" w:rsidR="1446851A">
        <w:rPr>
          <w:rFonts w:eastAsiaTheme="minorEastAsia"/>
          <w:i/>
          <w:iCs/>
          <w:color w:val="000000" w:themeColor="text1"/>
        </w:rPr>
        <w:t xml:space="preserve"> </w:t>
      </w:r>
      <w:r w:rsidRPr="7EB5E2B1" w:rsidR="3D0FAA9C">
        <w:rPr>
          <w:rFonts w:eastAsiaTheme="minorEastAsia"/>
          <w:i/>
          <w:iCs/>
          <w:color w:val="000000" w:themeColor="text1"/>
        </w:rPr>
        <w:t>Aby osiągnąć zakładane cele wdrażamy</w:t>
      </w:r>
      <w:r w:rsidRPr="7EB5E2B1" w:rsidR="4BECD96E">
        <w:rPr>
          <w:rFonts w:eastAsiaTheme="minorEastAsia"/>
          <w:i/>
          <w:iCs/>
          <w:color w:val="000000" w:themeColor="text1"/>
        </w:rPr>
        <w:t xml:space="preserve"> </w:t>
      </w:r>
      <w:r w:rsidRPr="7EB5E2B1" w:rsidR="345AB78E">
        <w:rPr>
          <w:rFonts w:eastAsiaTheme="minorEastAsia"/>
          <w:i/>
          <w:iCs/>
          <w:color w:val="000000" w:themeColor="text1"/>
        </w:rPr>
        <w:t>system</w:t>
      </w:r>
      <w:r w:rsidRPr="7EB5E2B1" w:rsidR="245CB371">
        <w:rPr>
          <w:rFonts w:eastAsiaTheme="minorEastAsia"/>
          <w:i/>
          <w:iCs/>
          <w:color w:val="000000" w:themeColor="text1"/>
        </w:rPr>
        <w:t>y</w:t>
      </w:r>
      <w:r w:rsidRPr="7EB5E2B1" w:rsidR="345AB78E">
        <w:rPr>
          <w:rFonts w:eastAsiaTheme="minorEastAsia"/>
          <w:i/>
          <w:iCs/>
          <w:color w:val="000000" w:themeColor="text1"/>
        </w:rPr>
        <w:t xml:space="preserve"> chłodzenia </w:t>
      </w:r>
      <w:r w:rsidRPr="7EB5E2B1" w:rsidR="5FD198B5">
        <w:rPr>
          <w:rFonts w:eastAsiaTheme="minorEastAsia"/>
          <w:i/>
          <w:iCs/>
          <w:color w:val="000000" w:themeColor="text1"/>
        </w:rPr>
        <w:t>cieczą</w:t>
      </w:r>
      <w:r w:rsidRPr="7EB5E2B1" w:rsidR="0DDFEEB6">
        <w:rPr>
          <w:rFonts w:eastAsiaTheme="minorEastAsia"/>
          <w:i/>
          <w:iCs/>
          <w:color w:val="000000" w:themeColor="text1"/>
        </w:rPr>
        <w:t>, które odgrywają kluczową</w:t>
      </w:r>
      <w:r w:rsidRPr="7EB5E2B1" w:rsidR="040B4ABF">
        <w:rPr>
          <w:rFonts w:eastAsiaTheme="minorEastAsia"/>
          <w:i/>
          <w:iCs/>
          <w:color w:val="000000" w:themeColor="text1"/>
        </w:rPr>
        <w:t xml:space="preserve"> rolę </w:t>
      </w:r>
      <w:r w:rsidRPr="7EB5E2B1" w:rsidR="4BECD96E">
        <w:rPr>
          <w:rFonts w:eastAsiaTheme="minorEastAsia"/>
          <w:i/>
          <w:iCs/>
          <w:color w:val="000000" w:themeColor="text1"/>
        </w:rPr>
        <w:t>w</w:t>
      </w:r>
      <w:r w:rsidRPr="7EB5E2B1" w:rsidR="5E2F64E4">
        <w:rPr>
          <w:rFonts w:eastAsiaTheme="minorEastAsia"/>
          <w:i/>
          <w:iCs/>
          <w:color w:val="000000" w:themeColor="text1"/>
        </w:rPr>
        <w:t xml:space="preserve"> dalszym rozwijaniu infrastruktury cyfrowej</w:t>
      </w:r>
      <w:r w:rsidRPr="7EB5E2B1" w:rsidR="4BECD96E">
        <w:rPr>
          <w:rFonts w:eastAsiaTheme="minorEastAsia"/>
          <w:i/>
          <w:iCs/>
          <w:color w:val="000000" w:themeColor="text1"/>
        </w:rPr>
        <w:t xml:space="preserve">. </w:t>
      </w:r>
      <w:r w:rsidRPr="7EB5E2B1" w:rsidR="76DFF76A">
        <w:rPr>
          <w:rFonts w:eastAsiaTheme="minorEastAsia"/>
          <w:i/>
          <w:iCs/>
          <w:color w:val="000000" w:themeColor="text1"/>
        </w:rPr>
        <w:t xml:space="preserve">Dzięki takim rozwiązaniom jesteśmy przygotowani na dalszy rozwój AI oraz rosnące w związku z tym zapotrzebowanie na architekturę IT. </w:t>
      </w:r>
      <w:r w:rsidRPr="7EB5E2B1" w:rsidR="7B3FA902">
        <w:rPr>
          <w:rFonts w:eastAsiaTheme="minorEastAsia"/>
          <w:i/>
          <w:iCs/>
          <w:color w:val="000000" w:themeColor="text1"/>
        </w:rPr>
        <w:t xml:space="preserve">Cieszymy się ze zwiększonej liczby centrów danych </w:t>
      </w:r>
      <w:r w:rsidRPr="7EB5E2B1" w:rsidR="6351EB86">
        <w:rPr>
          <w:rFonts w:eastAsiaTheme="minorEastAsia"/>
          <w:i/>
          <w:iCs/>
          <w:color w:val="000000" w:themeColor="text1"/>
        </w:rPr>
        <w:t>korzystających z tego rozwiązania</w:t>
      </w:r>
      <w:r w:rsidRPr="7EB5E2B1" w:rsidR="7B3FA902">
        <w:rPr>
          <w:rFonts w:eastAsiaTheme="minorEastAsia"/>
          <w:i/>
          <w:iCs/>
          <w:color w:val="000000" w:themeColor="text1"/>
        </w:rPr>
        <w:t xml:space="preserve">. Nadal staramy się optymalizować </w:t>
      </w:r>
      <w:r w:rsidRPr="7EB5E2B1" w:rsidR="3DB87148">
        <w:rPr>
          <w:rFonts w:eastAsiaTheme="minorEastAsia"/>
          <w:i/>
          <w:iCs/>
          <w:color w:val="000000" w:themeColor="text1"/>
        </w:rPr>
        <w:t>nasze podejście, aby w zrównoważony sposób wspierać rodzimy biznes</w:t>
      </w:r>
      <w:r w:rsidR="00334C7F">
        <w:rPr>
          <w:rFonts w:eastAsiaTheme="minorEastAsia"/>
          <w:i/>
          <w:iCs/>
          <w:color w:val="000000" w:themeColor="text1"/>
        </w:rPr>
        <w:t xml:space="preserve"> oraz optymalizować zużycie energii</w:t>
      </w:r>
      <w:r w:rsidRPr="7EB5E2B1" w:rsidR="3DB87148">
        <w:rPr>
          <w:rFonts w:eastAsiaTheme="minorEastAsia"/>
          <w:i/>
          <w:iCs/>
          <w:color w:val="000000" w:themeColor="text1"/>
        </w:rPr>
        <w:t xml:space="preserve">. </w:t>
      </w:r>
      <w:r w:rsidRPr="7EB5E2B1" w:rsidR="4BECD96E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– </w:t>
      </w:r>
      <w:r w:rsidRPr="7EB5E2B1" w:rsidR="4BECD96E">
        <w:rPr>
          <w:rStyle w:val="normaltextrun"/>
          <w:rFonts w:ascii="Calibri" w:hAnsi="Calibri" w:eastAsia="Calibri" w:cs="Calibri"/>
          <w:color w:val="000000" w:themeColor="text1"/>
        </w:rPr>
        <w:t>podkreśla Sylwia Pyśkiewicz, dyrektor zarządzająca Equinix w Polsce.</w:t>
      </w:r>
    </w:p>
    <w:p w:rsidRPr="00037975" w:rsidR="7994E772" w:rsidP="7EB5E2B1" w:rsidRDefault="7994E772" w14:paraId="70C58141" w14:textId="3EC76C8F">
      <w:pPr>
        <w:jc w:val="both"/>
        <w:rPr>
          <w:rFonts w:eastAsiaTheme="minorEastAsia"/>
          <w:color w:val="000000" w:themeColor="text1"/>
        </w:rPr>
      </w:pPr>
      <w:r w:rsidRPr="7EB5E2B1">
        <w:rPr>
          <w:rFonts w:eastAsiaTheme="minorEastAsia"/>
          <w:color w:val="000000" w:themeColor="text1"/>
        </w:rPr>
        <w:t xml:space="preserve">Chłodzenie </w:t>
      </w:r>
      <w:r w:rsidRPr="7EB5E2B1" w:rsidR="71221018">
        <w:rPr>
          <w:rFonts w:eastAsiaTheme="minorEastAsia"/>
          <w:color w:val="000000" w:themeColor="text1"/>
        </w:rPr>
        <w:t xml:space="preserve">cieczą </w:t>
      </w:r>
      <w:r w:rsidRPr="7EB5E2B1">
        <w:rPr>
          <w:rFonts w:eastAsiaTheme="minorEastAsia"/>
          <w:color w:val="000000" w:themeColor="text1"/>
        </w:rPr>
        <w:t xml:space="preserve">było w centrum </w:t>
      </w:r>
      <w:r w:rsidRPr="7EB5E2B1" w:rsidR="5B2BB448">
        <w:rPr>
          <w:rFonts w:eastAsiaTheme="minorEastAsia"/>
          <w:color w:val="000000" w:themeColor="text1"/>
        </w:rPr>
        <w:t>zainteresowania Equinix już</w:t>
      </w:r>
      <w:r w:rsidRPr="7EB5E2B1">
        <w:rPr>
          <w:rFonts w:eastAsiaTheme="minorEastAsia"/>
          <w:color w:val="000000" w:themeColor="text1"/>
        </w:rPr>
        <w:t xml:space="preserve"> podczas opracowywania specyfikacji Open19 V2. Celem projektu Open19, który działa w ramach Linux Foundation, było stworzenie otwartego standardu, który może pasować do każdej 19-calowej szafy serwerowej, pamięci masowej i sieci. Standaryzacja </w:t>
      </w:r>
      <w:r w:rsidRPr="7EB5E2B1" w:rsidR="2BF0D1FE">
        <w:rPr>
          <w:rFonts w:eastAsiaTheme="minorEastAsia"/>
          <w:color w:val="000000" w:themeColor="text1"/>
        </w:rPr>
        <w:t>pozwala uporządkować procesy i wprowadzić uniwersalność rozwiązań, co w dłuższej perspektywie doskonale pasuje do filozofii zrównoważonego rozwoju centrów danych propagowanej przez markę Equinix.</w:t>
      </w:r>
    </w:p>
    <w:p w:rsidRPr="00037975" w:rsidR="7B7A79CB" w:rsidP="7EB5E2B1" w:rsidRDefault="7B7A79CB" w14:paraId="4F831EA4" w14:textId="07FCA162">
      <w:pPr>
        <w:jc w:val="both"/>
        <w:rPr>
          <w:rFonts w:eastAsiaTheme="minorEastAsia"/>
          <w:color w:val="000000" w:themeColor="text1"/>
        </w:rPr>
      </w:pPr>
      <w:r w:rsidRPr="7EB5E2B1">
        <w:rPr>
          <w:rFonts w:eastAsiaTheme="minorEastAsia"/>
          <w:color w:val="000000" w:themeColor="text1"/>
        </w:rPr>
        <w:t xml:space="preserve">Podsumowując, w przypadku </w:t>
      </w:r>
      <w:r w:rsidRPr="7EB5E2B1" w:rsidR="00C62E26">
        <w:rPr>
          <w:rFonts w:eastAsiaTheme="minorEastAsia"/>
          <w:color w:val="000000" w:themeColor="text1"/>
        </w:rPr>
        <w:t>proces</w:t>
      </w:r>
      <w:r w:rsidRPr="7EB5E2B1" w:rsidR="00783EFB">
        <w:rPr>
          <w:rFonts w:eastAsiaTheme="minorEastAsia"/>
          <w:color w:val="000000" w:themeColor="text1"/>
        </w:rPr>
        <w:t>orów</w:t>
      </w:r>
      <w:r w:rsidRPr="7EB5E2B1" w:rsidR="00C62E26">
        <w:rPr>
          <w:rFonts w:eastAsiaTheme="minorEastAsia"/>
          <w:color w:val="000000" w:themeColor="text1"/>
        </w:rPr>
        <w:t xml:space="preserve"> </w:t>
      </w:r>
      <w:r w:rsidRPr="7EB5E2B1">
        <w:rPr>
          <w:rFonts w:eastAsiaTheme="minorEastAsia"/>
          <w:color w:val="000000" w:themeColor="text1"/>
        </w:rPr>
        <w:t xml:space="preserve">nowej generacji i infrastruktury sztucznej inteligencji, tradycyjne metody chłodzenia powietrzem nie spełnią swojego zadania. </w:t>
      </w:r>
      <w:r w:rsidRPr="7EB5E2B1">
        <w:rPr>
          <w:rFonts w:eastAsiaTheme="minorEastAsia"/>
          <w:b/>
          <w:bCs/>
          <w:color w:val="000000" w:themeColor="text1"/>
        </w:rPr>
        <w:t xml:space="preserve">Chłodzenie </w:t>
      </w:r>
      <w:r w:rsidRPr="7EB5E2B1" w:rsidR="47E8B8A8">
        <w:rPr>
          <w:rFonts w:eastAsiaTheme="minorEastAsia"/>
          <w:b/>
          <w:bCs/>
          <w:color w:val="000000" w:themeColor="text1"/>
        </w:rPr>
        <w:t xml:space="preserve">cieczą </w:t>
      </w:r>
      <w:r w:rsidRPr="7EB5E2B1">
        <w:rPr>
          <w:rFonts w:eastAsiaTheme="minorEastAsia"/>
          <w:b/>
          <w:bCs/>
          <w:color w:val="000000" w:themeColor="text1"/>
        </w:rPr>
        <w:t>może zaoferować lepszą wydajność przy jednoczesnej oszczędności energii</w:t>
      </w:r>
      <w:r w:rsidRPr="7EB5E2B1">
        <w:rPr>
          <w:rFonts w:eastAsiaTheme="minorEastAsia"/>
          <w:color w:val="000000" w:themeColor="text1"/>
        </w:rPr>
        <w:t xml:space="preserve">. </w:t>
      </w:r>
      <w:r w:rsidRPr="7EB5E2B1" w:rsidR="10633EAF">
        <w:rPr>
          <w:rFonts w:eastAsiaTheme="minorEastAsia"/>
          <w:color w:val="000000" w:themeColor="text1"/>
        </w:rPr>
        <w:t>C</w:t>
      </w:r>
      <w:r w:rsidRPr="7EB5E2B1">
        <w:rPr>
          <w:rFonts w:eastAsiaTheme="minorEastAsia"/>
          <w:color w:val="000000" w:themeColor="text1"/>
        </w:rPr>
        <w:t xml:space="preserve">entra danych Equinix stanowią idealne środowisko do wdrażania najnowocześniejszych technologii chłodzenia </w:t>
      </w:r>
      <w:r w:rsidRPr="7EB5E2B1" w:rsidR="151DC6EC">
        <w:rPr>
          <w:rFonts w:eastAsiaTheme="minorEastAsia"/>
          <w:color w:val="000000" w:themeColor="text1"/>
        </w:rPr>
        <w:t>cieczą</w:t>
      </w:r>
      <w:r w:rsidRPr="7EB5E2B1">
        <w:rPr>
          <w:rFonts w:eastAsiaTheme="minorEastAsia"/>
          <w:color w:val="000000" w:themeColor="text1"/>
        </w:rPr>
        <w:t>,</w:t>
      </w:r>
      <w:r w:rsidRPr="7EB5E2B1">
        <w:rPr>
          <w:rFonts w:eastAsiaTheme="minorEastAsia"/>
          <w:b/>
          <w:bCs/>
          <w:color w:val="000000" w:themeColor="text1"/>
        </w:rPr>
        <w:t xml:space="preserve"> zapewniając optymalną odporność, efektywność energetyczną i niezawodność infrastruktury cyfrowej o znaczeniu krytycznym</w:t>
      </w:r>
      <w:r w:rsidRPr="7EB5E2B1">
        <w:rPr>
          <w:rFonts w:eastAsiaTheme="minorEastAsia"/>
          <w:color w:val="000000" w:themeColor="text1"/>
        </w:rPr>
        <w:t>.</w:t>
      </w:r>
    </w:p>
    <w:p w:rsidR="004E24DE" w:rsidP="4B529AC8" w:rsidRDefault="237E31EE" w14:paraId="54DC97E0" w14:textId="0AA74B69">
      <w:pPr>
        <w:jc w:val="both"/>
        <w:rPr>
          <w:rStyle w:val="normaltextrun"/>
          <w:rFonts w:eastAsiaTheme="minorEastAsia"/>
          <w:b/>
          <w:bCs/>
          <w:color w:val="000000" w:themeColor="text1"/>
          <w:lang w:val="en-US"/>
        </w:rPr>
      </w:pPr>
      <w:proofErr w:type="spellStart"/>
      <w:r w:rsidRPr="4B529AC8">
        <w:rPr>
          <w:rStyle w:val="normaltextrun"/>
          <w:rFonts w:eastAsiaTheme="minorEastAsia"/>
          <w:b/>
          <w:bCs/>
          <w:color w:val="000000" w:themeColor="text1"/>
          <w:lang w:val="en-US"/>
        </w:rPr>
        <w:t>Dodatkowe</w:t>
      </w:r>
      <w:proofErr w:type="spellEnd"/>
      <w:r w:rsidRPr="4B529AC8">
        <w:rPr>
          <w:rStyle w:val="normaltextrun"/>
          <w:rFonts w:eastAsiaTheme="minorEastAsia"/>
          <w:b/>
          <w:bCs/>
          <w:color w:val="000000" w:themeColor="text1"/>
          <w:lang w:val="en-US"/>
        </w:rPr>
        <w:t xml:space="preserve"> </w:t>
      </w:r>
      <w:proofErr w:type="spellStart"/>
      <w:r w:rsidRPr="4B529AC8" w:rsidR="279571AB">
        <w:rPr>
          <w:rStyle w:val="normaltextrun"/>
          <w:rFonts w:eastAsiaTheme="minorEastAsia"/>
          <w:b/>
          <w:bCs/>
          <w:color w:val="000000" w:themeColor="text1"/>
          <w:lang w:val="en-US"/>
        </w:rPr>
        <w:t>materiały</w:t>
      </w:r>
      <w:proofErr w:type="spellEnd"/>
    </w:p>
    <w:p w:rsidRPr="00037975" w:rsidR="004E24DE" w:rsidP="7EB5E2B1" w:rsidRDefault="00000000" w14:paraId="36A57E8D" w14:textId="1853435A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hyperlink r:id="rId10">
        <w:r w:rsidRPr="7EB5E2B1" w:rsidR="237E31EE">
          <w:rPr>
            <w:rStyle w:val="Hipercze"/>
            <w:rFonts w:eastAsiaTheme="minorEastAsia"/>
          </w:rPr>
          <w:t xml:space="preserve">3 Trendy napędzające chłodzenie </w:t>
        </w:r>
        <w:r w:rsidRPr="7EB5E2B1" w:rsidR="0434C6D8">
          <w:rPr>
            <w:rStyle w:val="Hipercze"/>
            <w:rFonts w:eastAsiaTheme="minorEastAsia"/>
          </w:rPr>
          <w:t>cieczą</w:t>
        </w:r>
        <w:r w:rsidRPr="7EB5E2B1" w:rsidR="237E31EE">
          <w:rPr>
            <w:rStyle w:val="Hipercze"/>
            <w:rFonts w:eastAsiaTheme="minorEastAsia"/>
          </w:rPr>
          <w:t xml:space="preserve"> w</w:t>
        </w:r>
        <w:r w:rsidRPr="7EB5E2B1" w:rsidR="25E06FF4">
          <w:rPr>
            <w:rStyle w:val="Hipercze"/>
            <w:rFonts w:eastAsiaTheme="minorEastAsia"/>
          </w:rPr>
          <w:t xml:space="preserve"> centrach danych</w:t>
        </w:r>
      </w:hyperlink>
    </w:p>
    <w:p w:rsidR="004E24DE" w:rsidP="7EB5E2B1" w:rsidRDefault="00000000" w14:paraId="542B8CB6" w14:textId="231E4176">
      <w:pPr>
        <w:pStyle w:val="Akapitzlist"/>
        <w:numPr>
          <w:ilvl w:val="0"/>
          <w:numId w:val="3"/>
        </w:numPr>
        <w:jc w:val="both"/>
        <w:rPr>
          <w:rFonts w:eastAsiaTheme="minorEastAsia"/>
          <w:color w:val="333333"/>
        </w:rPr>
      </w:pPr>
      <w:hyperlink r:id="rId11">
        <w:r w:rsidRPr="7EB5E2B1" w:rsidR="237E31EE">
          <w:rPr>
            <w:rStyle w:val="Hipercze"/>
            <w:rFonts w:eastAsiaTheme="minorEastAsia"/>
          </w:rPr>
          <w:t xml:space="preserve">Chłodzenie </w:t>
        </w:r>
        <w:r w:rsidRPr="7EB5E2B1" w:rsidR="3B0BC7E2">
          <w:rPr>
            <w:rStyle w:val="Hipercze"/>
            <w:rFonts w:eastAsiaTheme="minorEastAsia"/>
          </w:rPr>
          <w:t>cieczą</w:t>
        </w:r>
        <w:r w:rsidRPr="7EB5E2B1" w:rsidR="237E31EE">
          <w:rPr>
            <w:rStyle w:val="Hipercze"/>
            <w:rFonts w:eastAsiaTheme="minorEastAsia"/>
          </w:rPr>
          <w:t xml:space="preserve"> dla</w:t>
        </w:r>
        <w:r w:rsidRPr="7EB5E2B1" w:rsidR="1330DEEA">
          <w:rPr>
            <w:rStyle w:val="Hipercze"/>
            <w:rFonts w:eastAsiaTheme="minorEastAsia"/>
          </w:rPr>
          <w:t xml:space="preserve"> aplikacji biznesowych nowej generacji</w:t>
        </w:r>
      </w:hyperlink>
      <w:r w:rsidRPr="7EB5E2B1" w:rsidR="1330DEEA">
        <w:rPr>
          <w:rFonts w:eastAsiaTheme="minorEastAsia"/>
        </w:rPr>
        <w:t xml:space="preserve">  </w:t>
      </w:r>
    </w:p>
    <w:p w:rsidRPr="00037975" w:rsidR="004E24DE" w:rsidP="7EB5E2B1" w:rsidRDefault="00000000" w14:paraId="3C82C0FC" w14:textId="2C0909EB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hyperlink r:id="rId12">
        <w:r w:rsidRPr="7EB5E2B1" w:rsidR="237E31EE">
          <w:rPr>
            <w:rStyle w:val="Hipercze"/>
            <w:rFonts w:eastAsiaTheme="minorEastAsia"/>
          </w:rPr>
          <w:t xml:space="preserve">Chłodzenie </w:t>
        </w:r>
        <w:r w:rsidRPr="7EB5E2B1" w:rsidR="55B4905C">
          <w:rPr>
            <w:rStyle w:val="Hipercze"/>
            <w:rFonts w:eastAsiaTheme="minorEastAsia"/>
          </w:rPr>
          <w:t>cieczą</w:t>
        </w:r>
        <w:r w:rsidRPr="7EB5E2B1" w:rsidR="237E31EE">
          <w:rPr>
            <w:rStyle w:val="Hipercze"/>
            <w:rFonts w:eastAsiaTheme="minorEastAsia"/>
          </w:rPr>
          <w:t xml:space="preserve"> w akcji </w:t>
        </w:r>
        <w:r w:rsidRPr="7EB5E2B1" w:rsidR="1BDA68D0">
          <w:rPr>
            <w:rStyle w:val="Hipercze"/>
            <w:rFonts w:eastAsiaTheme="minorEastAsia"/>
          </w:rPr>
          <w:t>—</w:t>
        </w:r>
        <w:r w:rsidRPr="7EB5E2B1" w:rsidR="237E31EE">
          <w:rPr>
            <w:rStyle w:val="Hipercze"/>
            <w:rFonts w:eastAsiaTheme="minorEastAsia"/>
          </w:rPr>
          <w:t xml:space="preserve"> na naszych własnych serwerach produkcyjnych</w:t>
        </w:r>
      </w:hyperlink>
    </w:p>
    <w:p w:rsidRPr="00037975" w:rsidR="004E24DE" w:rsidP="3FB8F229" w:rsidRDefault="4664F32E" w14:paraId="0F78596A" w14:textId="3AF9F21D">
      <w:pPr>
        <w:spacing w:after="200"/>
        <w:jc w:val="both"/>
        <w:rPr>
          <w:rFonts w:eastAsiaTheme="minorEastAsia"/>
          <w:color w:val="000000" w:themeColor="text1"/>
        </w:rPr>
      </w:pPr>
      <w:r w:rsidRPr="3FB8F229">
        <w:rPr>
          <w:rStyle w:val="normaltextrun"/>
          <w:rFonts w:eastAsiaTheme="minorEastAsia"/>
          <w:b/>
          <w:bCs/>
          <w:color w:val="000000" w:themeColor="text1"/>
        </w:rPr>
        <w:t>O Equinix</w:t>
      </w:r>
      <w:r w:rsidRPr="3FB8F229">
        <w:rPr>
          <w:rStyle w:val="scxw52135948"/>
          <w:rFonts w:eastAsiaTheme="minorEastAsia"/>
          <w:color w:val="000000" w:themeColor="text1"/>
        </w:rPr>
        <w:t xml:space="preserve"> </w:t>
      </w:r>
    </w:p>
    <w:p w:rsidRPr="00037975" w:rsidR="004E24DE" w:rsidP="3FB8F229" w:rsidRDefault="00000000" w14:paraId="0C37C3DE" w14:textId="739430E7">
      <w:pPr>
        <w:spacing w:after="200"/>
        <w:jc w:val="both"/>
        <w:rPr>
          <w:rFonts w:eastAsiaTheme="minorEastAsia"/>
          <w:color w:val="000000" w:themeColor="text1"/>
        </w:rPr>
      </w:pPr>
      <w:hyperlink r:id="rId13">
        <w:proofErr w:type="spellStart"/>
        <w:r w:rsidRPr="3FB8F229" w:rsidR="4664F32E">
          <w:rPr>
            <w:rStyle w:val="Hipercze"/>
            <w:rFonts w:eastAsiaTheme="minorEastAsia"/>
          </w:rPr>
          <w:t>Equinix</w:t>
        </w:r>
        <w:proofErr w:type="spellEnd"/>
      </w:hyperlink>
      <w:r w:rsidRPr="3FB8F229" w:rsidR="4664F32E">
        <w:rPr>
          <w:rFonts w:eastAsiaTheme="minorEastAsia"/>
        </w:rPr>
        <w:t xml:space="preserve"> (</w:t>
      </w:r>
      <w:proofErr w:type="spellStart"/>
      <w:r w:rsidRPr="3FB8F229" w:rsidR="4664F32E">
        <w:rPr>
          <w:rFonts w:eastAsiaTheme="minorEastAsia"/>
        </w:rPr>
        <w:t>Nasdaq</w:t>
      </w:r>
      <w:proofErr w:type="spellEnd"/>
      <w:r w:rsidRPr="3FB8F229" w:rsidR="4664F32E">
        <w:rPr>
          <w:rFonts w:eastAsiaTheme="minorEastAsia"/>
        </w:rPr>
        <w:t>: EQIX) to globalny dostawca infrastruktury cyfrowej, który umożliwia cyfrowym liderom wykorzystanie zaufanej platformy do bezpośredniego łączenia elementów infrastruktury leżącej u podstaw ich działalności i będącej źródłem ich sukcesu.</w:t>
      </w:r>
      <w:r w:rsidRPr="3FB8F229" w:rsidR="4664F32E">
        <w:rPr>
          <w:rStyle w:val="normaltextrun"/>
          <w:rFonts w:eastAsiaTheme="minorEastAsia"/>
          <w:color w:val="000000" w:themeColor="text1"/>
        </w:rPr>
        <w:t xml:space="preserve"> </w:t>
      </w:r>
      <w:r w:rsidRPr="3FB8F229" w:rsidR="4664F32E">
        <w:rPr>
          <w:rFonts w:eastAsiaTheme="minorEastAsia"/>
        </w:rPr>
        <w:t>Equinix umożliwia firmom dostęp do wszystkich właściwych miejsc, partnerów i możliwości, których potrzebują, żeby budować i wzmacniać swoją przewagę konkurencyjną</w:t>
      </w:r>
      <w:r w:rsidRPr="3FB8F229" w:rsidR="4664F32E">
        <w:rPr>
          <w:rStyle w:val="normaltextrun"/>
          <w:rFonts w:eastAsiaTheme="minorEastAsia"/>
          <w:color w:val="000000" w:themeColor="text1"/>
        </w:rPr>
        <w:t xml:space="preserve">, jednocześnie wspierając ich cele w zakresie zrównoważonego </w:t>
      </w:r>
      <w:r w:rsidRPr="3FB8F229" w:rsidR="4664F32E">
        <w:rPr>
          <w:rStyle w:val="normaltextrun"/>
          <w:rFonts w:eastAsiaTheme="minorEastAsia"/>
          <w:color w:val="000000" w:themeColor="text1"/>
        </w:rPr>
        <w:lastRenderedPageBreak/>
        <w:t xml:space="preserve">rozwoju. </w:t>
      </w:r>
      <w:r w:rsidRPr="3FB8F229" w:rsidR="4664F32E">
        <w:rPr>
          <w:rFonts w:eastAsiaTheme="minorEastAsia"/>
        </w:rPr>
        <w:t>Dzięki Equinix firmy mogą skalować w sposób zwinny, przyspieszać uruchamianie usług cyfrowych oraz dostarczać światowej klasy doświadczenia i pomnażać swoją wartość.</w:t>
      </w:r>
    </w:p>
    <w:p w:rsidRPr="00037975" w:rsidR="004E24DE" w:rsidP="3FB8F229" w:rsidRDefault="4664F32E" w14:paraId="1363CF3D" w14:textId="7FE691B1">
      <w:pPr>
        <w:spacing w:after="200"/>
        <w:jc w:val="both"/>
        <w:rPr>
          <w:rFonts w:eastAsiaTheme="minorEastAsia"/>
          <w:color w:val="000000" w:themeColor="text1"/>
        </w:rPr>
      </w:pPr>
      <w:r w:rsidRPr="3FB8F229">
        <w:rPr>
          <w:rStyle w:val="scxw52135948"/>
          <w:rFonts w:eastAsiaTheme="minorEastAsia"/>
          <w:b/>
          <w:bCs/>
          <w:color w:val="000000" w:themeColor="text1"/>
        </w:rPr>
        <w:t xml:space="preserve">Stwierdzenia dotyczące przyszłości </w:t>
      </w:r>
    </w:p>
    <w:p w:rsidRPr="00037975" w:rsidR="004E24DE" w:rsidP="3FB8F229" w:rsidRDefault="4664F32E" w14:paraId="38DA30E9" w14:textId="6326567A">
      <w:pPr>
        <w:pStyle w:val="paragraph"/>
        <w:spacing w:beforeAutospacing="0" w:after="200" w:afterAutospacing="0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6EE927FE" w:rsidR="4664F32E">
        <w:rPr>
          <w:rFonts w:ascii="Calibri" w:hAnsi="Calibri" w:eastAsia="ＭＳ 明朝" w:cs="Arial" w:asciiTheme="minorAscii" w:hAnsiTheme="minorAscii" w:eastAsiaTheme="minorEastAsia" w:cstheme="minorBidi"/>
        </w:rPr>
        <w:t xml:space="preserve">Niniejsza informacja prasowa zawiera stwierdzenia dotyczące przyszłości, które wiążą się z ryzykiem i niepewnością. Rzeczywiste wyniki mogą znacznie różnić się od oczekiwań omówionych w niniejszych stwierdzeniach dotyczących przyszłości. Czynniki mogące powodować różnice obejmują między innymi ryzyko dla naszej działalności i wyników operacyjnych związane z obecnym środowiskiem inflacyjnym; wahaniami kursów walut; zwiększonymi kosztami pozyskiwania energii i ogólną zmiennością na globalnym rynku energii; wyzwania związane z nabywaniem, obsługą i budową centrów danych IBX® i </w:t>
      </w:r>
      <w:proofErr w:type="spellStart"/>
      <w:r w:rsidRPr="6EE927FE" w:rsidR="4664F32E">
        <w:rPr>
          <w:rFonts w:ascii="Calibri" w:hAnsi="Calibri" w:eastAsia="ＭＳ 明朝" w:cs="Arial" w:asciiTheme="minorAscii" w:hAnsiTheme="minorAscii" w:eastAsiaTheme="minorEastAsia" w:cstheme="minorBidi"/>
        </w:rPr>
        <w:t>xScale</w:t>
      </w:r>
      <w:proofErr w:type="spellEnd"/>
      <w:r w:rsidRPr="6EE927FE" w:rsidR="4664F32E">
        <w:rPr>
          <w:rFonts w:ascii="Calibri" w:hAnsi="Calibri" w:eastAsia="ＭＳ 明朝" w:cs="Arial" w:asciiTheme="minorAscii" w:hAnsiTheme="minorAscii" w:eastAsiaTheme="minorEastAsia" w:cstheme="minorBidi"/>
        </w:rPr>
        <w:t>® oraz opracowywaniem, wdrażaniem i dostarczaniem produktów i rozwiązań Equinix; nieprzewidzianymi kosztami lub trudnościami związanymi z integracją firm, które nabyliśmy lub nabędziemy do Equinix; nieuzyskanie znaczących przychodów od klientów w niedawno wybudowanych lub przejętych centrach danych; niedokończenie wszelkich rozważanych od czasu do czasu ustaleń finansowych; konkurencja ze strony obecnych i nowych konkurentów; zdolność do generowania wystarczających przepływów pieniężnych lub pozyskiwania w inny sposób środków na spłatę nowego lub niespłaconego zadłużenia; utrata lub spadek działalności naszych kluczowych klientów; ryzyko związane z naszym opodatkowaniem jako REIT oraz inne ryzyka opisywane od czasu do czasu w dokumentach Equinix składanych do Komisji Papierów Wartościowych i Giełd. W szczególności należy zapoznać się z ostatnimi i przyszłymi raportami kwartalnymi i rocznymi Equinix złożonymi w Komisji Papierów Wartościowych i Giełd, których kopie są dostępne na żądanie firmy Equinix. Equinix nie przyjmuje żadnego zobowiązania do aktualizowania informacji dotyczących przyszłości zawartych w niniejszej informacji prasowej.</w:t>
      </w:r>
    </w:p>
    <w:sectPr w:rsidR="00CA6153">
      <w:headerReference w:type="default" r:id="rId16"/>
      <w:foot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066" w:rsidRDefault="00BD7066" w14:paraId="47226320" w14:textId="77777777">
      <w:pPr>
        <w:spacing w:after="0" w:line="240" w:lineRule="auto"/>
      </w:pPr>
      <w:r>
        <w:separator/>
      </w:r>
    </w:p>
  </w:endnote>
  <w:endnote w:type="continuationSeparator" w:id="0">
    <w:p w:rsidR="00BD7066" w:rsidRDefault="00BD7066" w14:paraId="2B49F9D1" w14:textId="77777777">
      <w:pPr>
        <w:spacing w:after="0" w:line="240" w:lineRule="auto"/>
      </w:pPr>
      <w:r>
        <w:continuationSeparator/>
      </w:r>
    </w:p>
  </w:endnote>
  <w:endnote w:type="continuationNotice" w:id="1">
    <w:p w:rsidR="00BD7066" w:rsidRDefault="00BD7066" w14:paraId="649C09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B5E2B1" w:rsidTr="7EB5E2B1" w14:paraId="27F8090B" w14:textId="77777777">
      <w:trPr>
        <w:trHeight w:val="300"/>
      </w:trPr>
      <w:tc>
        <w:tcPr>
          <w:tcW w:w="3005" w:type="dxa"/>
        </w:tcPr>
        <w:p w:rsidR="7EB5E2B1" w:rsidP="7EB5E2B1" w:rsidRDefault="7EB5E2B1" w14:paraId="41B6EB3B" w14:textId="10A763EE">
          <w:pPr>
            <w:pStyle w:val="Nagwek"/>
            <w:ind w:left="-115"/>
          </w:pPr>
        </w:p>
      </w:tc>
      <w:tc>
        <w:tcPr>
          <w:tcW w:w="3005" w:type="dxa"/>
        </w:tcPr>
        <w:p w:rsidR="7EB5E2B1" w:rsidP="7EB5E2B1" w:rsidRDefault="7EB5E2B1" w14:paraId="3573C9F7" w14:textId="12E765F4">
          <w:pPr>
            <w:pStyle w:val="Nagwek"/>
            <w:jc w:val="center"/>
          </w:pPr>
        </w:p>
      </w:tc>
      <w:tc>
        <w:tcPr>
          <w:tcW w:w="3005" w:type="dxa"/>
        </w:tcPr>
        <w:p w:rsidR="7EB5E2B1" w:rsidP="7EB5E2B1" w:rsidRDefault="7EB5E2B1" w14:paraId="14A0AE41" w14:textId="47A45DEA">
          <w:pPr>
            <w:pStyle w:val="Nagwek"/>
            <w:ind w:right="-115"/>
            <w:jc w:val="right"/>
          </w:pPr>
        </w:p>
      </w:tc>
    </w:tr>
  </w:tbl>
  <w:p w:rsidR="7EB5E2B1" w:rsidP="7EB5E2B1" w:rsidRDefault="7EB5E2B1" w14:paraId="2841748C" w14:textId="28110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066" w:rsidRDefault="00BD7066" w14:paraId="4BA40656" w14:textId="77777777">
      <w:pPr>
        <w:spacing w:after="0" w:line="240" w:lineRule="auto"/>
      </w:pPr>
      <w:r>
        <w:separator/>
      </w:r>
    </w:p>
  </w:footnote>
  <w:footnote w:type="continuationSeparator" w:id="0">
    <w:p w:rsidR="00BD7066" w:rsidRDefault="00BD7066" w14:paraId="3DA83F8A" w14:textId="77777777">
      <w:pPr>
        <w:spacing w:after="0" w:line="240" w:lineRule="auto"/>
      </w:pPr>
      <w:r>
        <w:continuationSeparator/>
      </w:r>
    </w:p>
  </w:footnote>
  <w:footnote w:type="continuationNotice" w:id="1">
    <w:p w:rsidR="00BD7066" w:rsidRDefault="00BD7066" w14:paraId="11851E71" w14:textId="77777777">
      <w:pPr>
        <w:spacing w:after="0" w:line="240" w:lineRule="auto"/>
      </w:pPr>
    </w:p>
  </w:footnote>
  <w:footnote w:id="2">
    <w:p w:rsidR="72817073" w:rsidP="72817073" w:rsidRDefault="72817073" w14:paraId="575838C3" w14:textId="4894703F">
      <w:pPr>
        <w:pStyle w:val="Tekstprzypisudolnego"/>
      </w:pPr>
      <w:r w:rsidRPr="72817073">
        <w:rPr>
          <w:rStyle w:val="Odwoanieprzypisudolnego"/>
        </w:rPr>
        <w:footnoteRef/>
      </w:r>
      <w:r>
        <w:t xml:space="preserve"> </w:t>
      </w:r>
      <w:hyperlink r:id="rId1">
        <w:r w:rsidRPr="72817073">
          <w:rPr>
            <w:rStyle w:val="Hipercze"/>
          </w:rPr>
          <w:t>https://assets.ey.com/content/dam/ey-sites/ey-com/pl_pl/noindex/2023/ey-ai-raport.pdf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27275" w:rsidP="00CA2D6C" w:rsidRDefault="00A610D2" w14:paraId="01E9A54F" w14:textId="7CFD29F2">
    <w:pPr>
      <w:pStyle w:val="Nagwek"/>
      <w:jc w:val="center"/>
    </w:pPr>
    <w:r>
      <w:rPr>
        <w:noProof/>
      </w:rPr>
      <w:drawing>
        <wp:inline distT="114300" distB="114300" distL="114300" distR="114300" wp14:anchorId="173F11E4" wp14:editId="4F5E9161">
          <wp:extent cx="1400175" cy="676275"/>
          <wp:effectExtent l="0" t="0" r="0" b="0"/>
          <wp:docPr id="1" name="Picture 1" descr="Obraz zawierający Grafika, czerwony, logo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braz zawierający Grafika, czerwony, logo, design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194C"/>
    <w:multiLevelType w:val="hybridMultilevel"/>
    <w:tmpl w:val="A22634BE"/>
    <w:lvl w:ilvl="0" w:tplc="B040F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8A0D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769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8AE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76B0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6C51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D036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8AF5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986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C8E4FD"/>
    <w:multiLevelType w:val="hybridMultilevel"/>
    <w:tmpl w:val="783042DA"/>
    <w:lvl w:ilvl="0" w:tplc="F25A00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EE2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E425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BEE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4D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DCA2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EAFC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0C32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C04F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9A74D1"/>
    <w:multiLevelType w:val="hybridMultilevel"/>
    <w:tmpl w:val="492EE034"/>
    <w:lvl w:ilvl="0" w:tplc="D53CE8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DEA5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081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2416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505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0268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8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48D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7885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0025459">
    <w:abstractNumId w:val="1"/>
  </w:num>
  <w:num w:numId="2" w16cid:durableId="1769809997">
    <w:abstractNumId w:val="0"/>
  </w:num>
  <w:num w:numId="3" w16cid:durableId="161529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UzNLA0NDexNLdU0lEKTi0uzszPAykwrQUAD3RGOywAAAA="/>
  </w:docVars>
  <w:rsids>
    <w:rsidRoot w:val="22D59127"/>
    <w:rsid w:val="00014475"/>
    <w:rsid w:val="00037975"/>
    <w:rsid w:val="00042A71"/>
    <w:rsid w:val="000F5A12"/>
    <w:rsid w:val="000F6745"/>
    <w:rsid w:val="00101C8E"/>
    <w:rsid w:val="00127275"/>
    <w:rsid w:val="001348A0"/>
    <w:rsid w:val="00161065"/>
    <w:rsid w:val="001865F1"/>
    <w:rsid w:val="00192823"/>
    <w:rsid w:val="001E3AC7"/>
    <w:rsid w:val="00225DCA"/>
    <w:rsid w:val="00251B6C"/>
    <w:rsid w:val="0033235B"/>
    <w:rsid w:val="00334C7F"/>
    <w:rsid w:val="003977AB"/>
    <w:rsid w:val="003CD38E"/>
    <w:rsid w:val="003E34E8"/>
    <w:rsid w:val="00417239"/>
    <w:rsid w:val="00434614"/>
    <w:rsid w:val="0044225E"/>
    <w:rsid w:val="00446D94"/>
    <w:rsid w:val="004C3F50"/>
    <w:rsid w:val="004E24DE"/>
    <w:rsid w:val="00515E2B"/>
    <w:rsid w:val="00556D02"/>
    <w:rsid w:val="00593508"/>
    <w:rsid w:val="005B4F41"/>
    <w:rsid w:val="005E5A50"/>
    <w:rsid w:val="005E5FDE"/>
    <w:rsid w:val="00625CED"/>
    <w:rsid w:val="0062672F"/>
    <w:rsid w:val="00630536"/>
    <w:rsid w:val="0063660F"/>
    <w:rsid w:val="00701679"/>
    <w:rsid w:val="00721E8B"/>
    <w:rsid w:val="00724EA2"/>
    <w:rsid w:val="00760D83"/>
    <w:rsid w:val="00760E48"/>
    <w:rsid w:val="00783EFB"/>
    <w:rsid w:val="008159E8"/>
    <w:rsid w:val="00836A5E"/>
    <w:rsid w:val="009808EE"/>
    <w:rsid w:val="00A610D2"/>
    <w:rsid w:val="00A653AC"/>
    <w:rsid w:val="00AB7B3C"/>
    <w:rsid w:val="00AD2566"/>
    <w:rsid w:val="00AE18EE"/>
    <w:rsid w:val="00B0571D"/>
    <w:rsid w:val="00B06A69"/>
    <w:rsid w:val="00B477F8"/>
    <w:rsid w:val="00B94588"/>
    <w:rsid w:val="00BD7066"/>
    <w:rsid w:val="00C62E26"/>
    <w:rsid w:val="00CA2D6C"/>
    <w:rsid w:val="00CA6153"/>
    <w:rsid w:val="00CB310B"/>
    <w:rsid w:val="00CF49BA"/>
    <w:rsid w:val="00D8106D"/>
    <w:rsid w:val="00D949E8"/>
    <w:rsid w:val="00DD74EC"/>
    <w:rsid w:val="00E81126"/>
    <w:rsid w:val="00EB4AA1"/>
    <w:rsid w:val="00EB5C73"/>
    <w:rsid w:val="01A9496E"/>
    <w:rsid w:val="01AFD849"/>
    <w:rsid w:val="0268A3A1"/>
    <w:rsid w:val="02D73929"/>
    <w:rsid w:val="02E9D48D"/>
    <w:rsid w:val="02F3092B"/>
    <w:rsid w:val="0330B406"/>
    <w:rsid w:val="03D3156E"/>
    <w:rsid w:val="040B4ABF"/>
    <w:rsid w:val="0434C6D8"/>
    <w:rsid w:val="0450C004"/>
    <w:rsid w:val="047BF83A"/>
    <w:rsid w:val="04BACF9C"/>
    <w:rsid w:val="04EEE8A9"/>
    <w:rsid w:val="050CE8CE"/>
    <w:rsid w:val="0533A22F"/>
    <w:rsid w:val="05A04463"/>
    <w:rsid w:val="060B5685"/>
    <w:rsid w:val="061F37D0"/>
    <w:rsid w:val="064BC8D3"/>
    <w:rsid w:val="066E925B"/>
    <w:rsid w:val="06730B35"/>
    <w:rsid w:val="068ED163"/>
    <w:rsid w:val="069729C5"/>
    <w:rsid w:val="06987AE6"/>
    <w:rsid w:val="074EDA30"/>
    <w:rsid w:val="085E30DC"/>
    <w:rsid w:val="0864E9A1"/>
    <w:rsid w:val="08D7E525"/>
    <w:rsid w:val="090C4DE5"/>
    <w:rsid w:val="09243127"/>
    <w:rsid w:val="09414C58"/>
    <w:rsid w:val="09591611"/>
    <w:rsid w:val="09A25E62"/>
    <w:rsid w:val="0A54A361"/>
    <w:rsid w:val="0A6F0091"/>
    <w:rsid w:val="0AB6C5A3"/>
    <w:rsid w:val="0B1AC0FD"/>
    <w:rsid w:val="0B3BCBE0"/>
    <w:rsid w:val="0B70235E"/>
    <w:rsid w:val="0BC65BCE"/>
    <w:rsid w:val="0D0298E2"/>
    <w:rsid w:val="0D11F300"/>
    <w:rsid w:val="0DDFEEB6"/>
    <w:rsid w:val="0E6DBBE1"/>
    <w:rsid w:val="0E736CA2"/>
    <w:rsid w:val="0F2ECBCC"/>
    <w:rsid w:val="0F313BA5"/>
    <w:rsid w:val="0F5E1E0B"/>
    <w:rsid w:val="0F93583D"/>
    <w:rsid w:val="1016CC50"/>
    <w:rsid w:val="1027548B"/>
    <w:rsid w:val="10358D6A"/>
    <w:rsid w:val="10633EAF"/>
    <w:rsid w:val="106CED18"/>
    <w:rsid w:val="108F7CD7"/>
    <w:rsid w:val="109C3F89"/>
    <w:rsid w:val="10B3F5B6"/>
    <w:rsid w:val="10D349F2"/>
    <w:rsid w:val="111A5675"/>
    <w:rsid w:val="1158954E"/>
    <w:rsid w:val="11799104"/>
    <w:rsid w:val="11AB0D64"/>
    <w:rsid w:val="11B1D1D9"/>
    <w:rsid w:val="11CE1C8C"/>
    <w:rsid w:val="1240F8DC"/>
    <w:rsid w:val="12ACA466"/>
    <w:rsid w:val="12C546FD"/>
    <w:rsid w:val="1328036D"/>
    <w:rsid w:val="1330DEEA"/>
    <w:rsid w:val="135405CF"/>
    <w:rsid w:val="138C6736"/>
    <w:rsid w:val="1446851A"/>
    <w:rsid w:val="144FAED2"/>
    <w:rsid w:val="14903610"/>
    <w:rsid w:val="14C3D3CE"/>
    <w:rsid w:val="151DC6EC"/>
    <w:rsid w:val="15477DE4"/>
    <w:rsid w:val="156E3AC2"/>
    <w:rsid w:val="159173DE"/>
    <w:rsid w:val="162C0671"/>
    <w:rsid w:val="163F869F"/>
    <w:rsid w:val="16B286EA"/>
    <w:rsid w:val="16C407F8"/>
    <w:rsid w:val="17159EF0"/>
    <w:rsid w:val="1769CC59"/>
    <w:rsid w:val="17787918"/>
    <w:rsid w:val="17C98443"/>
    <w:rsid w:val="17CD217E"/>
    <w:rsid w:val="17FB7490"/>
    <w:rsid w:val="1854A5A7"/>
    <w:rsid w:val="189D8864"/>
    <w:rsid w:val="18C76166"/>
    <w:rsid w:val="18D3D214"/>
    <w:rsid w:val="19791D85"/>
    <w:rsid w:val="1A60FEBF"/>
    <w:rsid w:val="1A66F30C"/>
    <w:rsid w:val="1AA16D1B"/>
    <w:rsid w:val="1AB34AFD"/>
    <w:rsid w:val="1B331552"/>
    <w:rsid w:val="1B85ED75"/>
    <w:rsid w:val="1BB34C0D"/>
    <w:rsid w:val="1BDA68D0"/>
    <w:rsid w:val="1BFC6A79"/>
    <w:rsid w:val="1BFD2215"/>
    <w:rsid w:val="1C20E3F8"/>
    <w:rsid w:val="1C820A2A"/>
    <w:rsid w:val="1C85241A"/>
    <w:rsid w:val="1CAFB0B9"/>
    <w:rsid w:val="1CFBE52F"/>
    <w:rsid w:val="1D04F48D"/>
    <w:rsid w:val="1D0DB8E4"/>
    <w:rsid w:val="1D2CC829"/>
    <w:rsid w:val="1D31880A"/>
    <w:rsid w:val="1D5A947D"/>
    <w:rsid w:val="1DB6C528"/>
    <w:rsid w:val="1E62C8EA"/>
    <w:rsid w:val="1E805002"/>
    <w:rsid w:val="1ED34756"/>
    <w:rsid w:val="1EF664DE"/>
    <w:rsid w:val="1F056F66"/>
    <w:rsid w:val="1F34C2D7"/>
    <w:rsid w:val="1F642B02"/>
    <w:rsid w:val="1FA48974"/>
    <w:rsid w:val="1FCB42D5"/>
    <w:rsid w:val="1FDFB3E9"/>
    <w:rsid w:val="203F607C"/>
    <w:rsid w:val="2040087A"/>
    <w:rsid w:val="20D09338"/>
    <w:rsid w:val="2110AE9F"/>
    <w:rsid w:val="21A813D1"/>
    <w:rsid w:val="2279D3F7"/>
    <w:rsid w:val="22BE2A11"/>
    <w:rsid w:val="22C21C2B"/>
    <w:rsid w:val="22D59127"/>
    <w:rsid w:val="23377C43"/>
    <w:rsid w:val="237E31EE"/>
    <w:rsid w:val="23A041F3"/>
    <w:rsid w:val="244EB320"/>
    <w:rsid w:val="245CB371"/>
    <w:rsid w:val="2543EA0C"/>
    <w:rsid w:val="25E06FF4"/>
    <w:rsid w:val="26A73682"/>
    <w:rsid w:val="270DF768"/>
    <w:rsid w:val="27572181"/>
    <w:rsid w:val="275DA76E"/>
    <w:rsid w:val="279571AB"/>
    <w:rsid w:val="27C9D0EA"/>
    <w:rsid w:val="297278F2"/>
    <w:rsid w:val="2A75BE8A"/>
    <w:rsid w:val="2A954830"/>
    <w:rsid w:val="2B1C8DF8"/>
    <w:rsid w:val="2B5126A2"/>
    <w:rsid w:val="2B967BD8"/>
    <w:rsid w:val="2BAA57B9"/>
    <w:rsid w:val="2BF0D1FE"/>
    <w:rsid w:val="2C0F4ACB"/>
    <w:rsid w:val="2C311891"/>
    <w:rsid w:val="2C4BE3FA"/>
    <w:rsid w:val="2C8AFA02"/>
    <w:rsid w:val="2CB4159B"/>
    <w:rsid w:val="2D3FD9BE"/>
    <w:rsid w:val="2D9F8683"/>
    <w:rsid w:val="2DB908CD"/>
    <w:rsid w:val="2DCECA06"/>
    <w:rsid w:val="2E03FED6"/>
    <w:rsid w:val="2E178315"/>
    <w:rsid w:val="2E56A9BB"/>
    <w:rsid w:val="2EDB774E"/>
    <w:rsid w:val="2F21E269"/>
    <w:rsid w:val="2F5937C8"/>
    <w:rsid w:val="2F77D536"/>
    <w:rsid w:val="2FADE7F0"/>
    <w:rsid w:val="2FE21506"/>
    <w:rsid w:val="2FF4AFC8"/>
    <w:rsid w:val="301CAA9B"/>
    <w:rsid w:val="30307350"/>
    <w:rsid w:val="312B2939"/>
    <w:rsid w:val="31ADB44D"/>
    <w:rsid w:val="31B711A4"/>
    <w:rsid w:val="3200AAAC"/>
    <w:rsid w:val="322B5016"/>
    <w:rsid w:val="3283E924"/>
    <w:rsid w:val="32F778FF"/>
    <w:rsid w:val="336FBE91"/>
    <w:rsid w:val="33806BCD"/>
    <w:rsid w:val="340EC807"/>
    <w:rsid w:val="345AB78E"/>
    <w:rsid w:val="34CBC2A9"/>
    <w:rsid w:val="34E56923"/>
    <w:rsid w:val="354EF3B6"/>
    <w:rsid w:val="3561FB5C"/>
    <w:rsid w:val="35C47948"/>
    <w:rsid w:val="35DFE85D"/>
    <w:rsid w:val="36CE4DC5"/>
    <w:rsid w:val="382E3F24"/>
    <w:rsid w:val="38858FAE"/>
    <w:rsid w:val="38942BE3"/>
    <w:rsid w:val="38BE342D"/>
    <w:rsid w:val="38F782F8"/>
    <w:rsid w:val="394F6EFF"/>
    <w:rsid w:val="3967F86E"/>
    <w:rsid w:val="39E3B042"/>
    <w:rsid w:val="3A4D4792"/>
    <w:rsid w:val="3A4E43B1"/>
    <w:rsid w:val="3AB35980"/>
    <w:rsid w:val="3B0BC7E2"/>
    <w:rsid w:val="3B5A32E2"/>
    <w:rsid w:val="3B860690"/>
    <w:rsid w:val="3BA71028"/>
    <w:rsid w:val="3C251C6B"/>
    <w:rsid w:val="3C6B5610"/>
    <w:rsid w:val="3C8532E8"/>
    <w:rsid w:val="3D0FAA9C"/>
    <w:rsid w:val="3D73CADC"/>
    <w:rsid w:val="3D9C81F0"/>
    <w:rsid w:val="3DB87148"/>
    <w:rsid w:val="3DD70BB3"/>
    <w:rsid w:val="3E30E739"/>
    <w:rsid w:val="3E36E67A"/>
    <w:rsid w:val="3ECA8F88"/>
    <w:rsid w:val="3EE7DD8D"/>
    <w:rsid w:val="3F090D70"/>
    <w:rsid w:val="3F4B53E7"/>
    <w:rsid w:val="3F5E195C"/>
    <w:rsid w:val="3FA893E3"/>
    <w:rsid w:val="3FB28DE8"/>
    <w:rsid w:val="3FB8F229"/>
    <w:rsid w:val="4068B791"/>
    <w:rsid w:val="408EB9B8"/>
    <w:rsid w:val="40915D93"/>
    <w:rsid w:val="409F3DC8"/>
    <w:rsid w:val="40AD41FC"/>
    <w:rsid w:val="40F0EBCA"/>
    <w:rsid w:val="412C3303"/>
    <w:rsid w:val="415B6692"/>
    <w:rsid w:val="41F1FF80"/>
    <w:rsid w:val="421F7E4F"/>
    <w:rsid w:val="430A579D"/>
    <w:rsid w:val="440B3214"/>
    <w:rsid w:val="440BC374"/>
    <w:rsid w:val="442FB6DC"/>
    <w:rsid w:val="4452651D"/>
    <w:rsid w:val="445A3BC6"/>
    <w:rsid w:val="44A627A9"/>
    <w:rsid w:val="44FB6BEC"/>
    <w:rsid w:val="451703AA"/>
    <w:rsid w:val="4529A042"/>
    <w:rsid w:val="45A793D5"/>
    <w:rsid w:val="45B99701"/>
    <w:rsid w:val="45C4AFC0"/>
    <w:rsid w:val="4604219D"/>
    <w:rsid w:val="4664F32E"/>
    <w:rsid w:val="46C25C9A"/>
    <w:rsid w:val="46DA4EB0"/>
    <w:rsid w:val="46F2EF72"/>
    <w:rsid w:val="47019C31"/>
    <w:rsid w:val="4711BBCD"/>
    <w:rsid w:val="471FD821"/>
    <w:rsid w:val="4772D66C"/>
    <w:rsid w:val="47E8B8A8"/>
    <w:rsid w:val="4844DB4E"/>
    <w:rsid w:val="487311BB"/>
    <w:rsid w:val="48CB8C72"/>
    <w:rsid w:val="48D6A671"/>
    <w:rsid w:val="4AA3100E"/>
    <w:rsid w:val="4B529AC8"/>
    <w:rsid w:val="4B86452E"/>
    <w:rsid w:val="4BC66095"/>
    <w:rsid w:val="4BECD96E"/>
    <w:rsid w:val="4C4EDE71"/>
    <w:rsid w:val="4C8BFE8E"/>
    <w:rsid w:val="4CAAB8B6"/>
    <w:rsid w:val="4CB98EC3"/>
    <w:rsid w:val="4D3FE841"/>
    <w:rsid w:val="4D6230F6"/>
    <w:rsid w:val="4E79AA89"/>
    <w:rsid w:val="4EB75A2B"/>
    <w:rsid w:val="4EB9C6E1"/>
    <w:rsid w:val="4EED4E1B"/>
    <w:rsid w:val="4F217EB7"/>
    <w:rsid w:val="4FE3ED88"/>
    <w:rsid w:val="5059B651"/>
    <w:rsid w:val="5092546C"/>
    <w:rsid w:val="5130AFBA"/>
    <w:rsid w:val="515AFD0B"/>
    <w:rsid w:val="51E3FD35"/>
    <w:rsid w:val="51EEFAED"/>
    <w:rsid w:val="52135964"/>
    <w:rsid w:val="52757143"/>
    <w:rsid w:val="52A634C9"/>
    <w:rsid w:val="52AE21F3"/>
    <w:rsid w:val="52FB51DB"/>
    <w:rsid w:val="533E4AC2"/>
    <w:rsid w:val="53B2CB62"/>
    <w:rsid w:val="53C6F6DC"/>
    <w:rsid w:val="53E70FA5"/>
    <w:rsid w:val="5431E130"/>
    <w:rsid w:val="543E3A3E"/>
    <w:rsid w:val="54852A41"/>
    <w:rsid w:val="54B1A762"/>
    <w:rsid w:val="54C058F7"/>
    <w:rsid w:val="55269BAF"/>
    <w:rsid w:val="55B4905C"/>
    <w:rsid w:val="564D5C97"/>
    <w:rsid w:val="56796E7A"/>
    <w:rsid w:val="56E6CA87"/>
    <w:rsid w:val="57D8C313"/>
    <w:rsid w:val="5870B9BE"/>
    <w:rsid w:val="589DE0A0"/>
    <w:rsid w:val="5A3626E2"/>
    <w:rsid w:val="5A695D02"/>
    <w:rsid w:val="5A937ED0"/>
    <w:rsid w:val="5B2BB448"/>
    <w:rsid w:val="5BB8BF06"/>
    <w:rsid w:val="5BBA3BAA"/>
    <w:rsid w:val="5BCE637D"/>
    <w:rsid w:val="5BFD6F0A"/>
    <w:rsid w:val="5C3CF128"/>
    <w:rsid w:val="5C4CDDA9"/>
    <w:rsid w:val="5C77038E"/>
    <w:rsid w:val="5CE011CD"/>
    <w:rsid w:val="5CE60ABC"/>
    <w:rsid w:val="5D3B1D08"/>
    <w:rsid w:val="5D9FEBAD"/>
    <w:rsid w:val="5E2F64E4"/>
    <w:rsid w:val="5EE4EDAB"/>
    <w:rsid w:val="5EF1DC6C"/>
    <w:rsid w:val="5F87DEB2"/>
    <w:rsid w:val="5F8F4626"/>
    <w:rsid w:val="5FAEA450"/>
    <w:rsid w:val="5FD198B5"/>
    <w:rsid w:val="60D34AA9"/>
    <w:rsid w:val="613C471F"/>
    <w:rsid w:val="613F88D5"/>
    <w:rsid w:val="616C5133"/>
    <w:rsid w:val="618C3E00"/>
    <w:rsid w:val="61924AAC"/>
    <w:rsid w:val="619B3D11"/>
    <w:rsid w:val="61F8988C"/>
    <w:rsid w:val="626E9194"/>
    <w:rsid w:val="626F1B0A"/>
    <w:rsid w:val="628C61C0"/>
    <w:rsid w:val="63266079"/>
    <w:rsid w:val="633EC925"/>
    <w:rsid w:val="6351EB86"/>
    <w:rsid w:val="63522512"/>
    <w:rsid w:val="635A8427"/>
    <w:rsid w:val="63926511"/>
    <w:rsid w:val="63B67618"/>
    <w:rsid w:val="63DDBF26"/>
    <w:rsid w:val="640CB6BB"/>
    <w:rsid w:val="643251A8"/>
    <w:rsid w:val="64655606"/>
    <w:rsid w:val="6481FE9B"/>
    <w:rsid w:val="651A9324"/>
    <w:rsid w:val="659680C1"/>
    <w:rsid w:val="668CC6C3"/>
    <w:rsid w:val="6755E2CD"/>
    <w:rsid w:val="67850FCE"/>
    <w:rsid w:val="679184AB"/>
    <w:rsid w:val="68273EDE"/>
    <w:rsid w:val="683FD789"/>
    <w:rsid w:val="68F56C47"/>
    <w:rsid w:val="68FDE721"/>
    <w:rsid w:val="6939E22F"/>
    <w:rsid w:val="69B91F5D"/>
    <w:rsid w:val="69DA8419"/>
    <w:rsid w:val="6A0D1AA1"/>
    <w:rsid w:val="6A913CA8"/>
    <w:rsid w:val="6ACA23A7"/>
    <w:rsid w:val="6ACF57FE"/>
    <w:rsid w:val="6B2A27E3"/>
    <w:rsid w:val="6B88298E"/>
    <w:rsid w:val="6BB6030B"/>
    <w:rsid w:val="6C2FE407"/>
    <w:rsid w:val="6C5E0BB8"/>
    <w:rsid w:val="6C616AA2"/>
    <w:rsid w:val="6C9C17C2"/>
    <w:rsid w:val="6C9F1BF0"/>
    <w:rsid w:val="6CCC6D50"/>
    <w:rsid w:val="6CF0C01F"/>
    <w:rsid w:val="6D204023"/>
    <w:rsid w:val="6DD2B0C3"/>
    <w:rsid w:val="6E195CCF"/>
    <w:rsid w:val="6E6195D4"/>
    <w:rsid w:val="6EA64F5A"/>
    <w:rsid w:val="6EC19D81"/>
    <w:rsid w:val="6EE927FE"/>
    <w:rsid w:val="6F1EBFB3"/>
    <w:rsid w:val="6FAD1CC6"/>
    <w:rsid w:val="6FBE3C55"/>
    <w:rsid w:val="7033A1C2"/>
    <w:rsid w:val="70B1FF48"/>
    <w:rsid w:val="70C98FA5"/>
    <w:rsid w:val="71221018"/>
    <w:rsid w:val="713043A3"/>
    <w:rsid w:val="71B33FF2"/>
    <w:rsid w:val="72817073"/>
    <w:rsid w:val="729FD00D"/>
    <w:rsid w:val="72A32394"/>
    <w:rsid w:val="72B7B0C1"/>
    <w:rsid w:val="732BD107"/>
    <w:rsid w:val="7432E925"/>
    <w:rsid w:val="74999AFE"/>
    <w:rsid w:val="74AE790B"/>
    <w:rsid w:val="757DD3FA"/>
    <w:rsid w:val="758F8108"/>
    <w:rsid w:val="7596B6D8"/>
    <w:rsid w:val="75A0D9E0"/>
    <w:rsid w:val="75ABF3DA"/>
    <w:rsid w:val="75B1F31B"/>
    <w:rsid w:val="7622CEC7"/>
    <w:rsid w:val="763BF724"/>
    <w:rsid w:val="76572478"/>
    <w:rsid w:val="76BA569C"/>
    <w:rsid w:val="76DFF76A"/>
    <w:rsid w:val="7700781C"/>
    <w:rsid w:val="77E1C4AA"/>
    <w:rsid w:val="77E619CD"/>
    <w:rsid w:val="7843A1A8"/>
    <w:rsid w:val="788B1CEE"/>
    <w:rsid w:val="78E993DD"/>
    <w:rsid w:val="7994E772"/>
    <w:rsid w:val="7A85643E"/>
    <w:rsid w:val="7AAA0338"/>
    <w:rsid w:val="7AC1D2D9"/>
    <w:rsid w:val="7B151BEA"/>
    <w:rsid w:val="7B1DBA8F"/>
    <w:rsid w:val="7B3FA902"/>
    <w:rsid w:val="7B6853F3"/>
    <w:rsid w:val="7B7A79CB"/>
    <w:rsid w:val="7C0941B9"/>
    <w:rsid w:val="7C5212BF"/>
    <w:rsid w:val="7D036CE3"/>
    <w:rsid w:val="7D39CAC4"/>
    <w:rsid w:val="7DE9C5B8"/>
    <w:rsid w:val="7E02E33B"/>
    <w:rsid w:val="7E42A040"/>
    <w:rsid w:val="7E4D7914"/>
    <w:rsid w:val="7E6AC56A"/>
    <w:rsid w:val="7E6D3ADC"/>
    <w:rsid w:val="7EB5E2B1"/>
    <w:rsid w:val="7EDDDBA0"/>
    <w:rsid w:val="7EF0A602"/>
    <w:rsid w:val="7F6B7C91"/>
    <w:rsid w:val="7F859619"/>
    <w:rsid w:val="7F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9127"/>
  <w15:chartTrackingRefBased/>
  <w15:docId w15:val="{2C54163C-0838-4093-BB4B-BB78D961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uiPriority w:val="1"/>
    <w:rsid w:val="3FB8F229"/>
  </w:style>
  <w:style w:type="character" w:styleId="eop" w:customStyle="1">
    <w:name w:val="eop"/>
    <w:basedOn w:val="Domylnaczcionkaakapitu"/>
    <w:uiPriority w:val="1"/>
    <w:rsid w:val="3FB8F229"/>
  </w:style>
  <w:style w:type="character" w:styleId="scxw52135948" w:customStyle="1">
    <w:name w:val="scxw52135948"/>
    <w:basedOn w:val="Domylnaczcionkaakapitu"/>
    <w:uiPriority w:val="1"/>
    <w:rsid w:val="3FB8F229"/>
  </w:style>
  <w:style w:type="paragraph" w:styleId="paragraph" w:customStyle="1">
    <w:name w:val="paragraph"/>
    <w:basedOn w:val="Normalny"/>
    <w:uiPriority w:val="1"/>
    <w:rsid w:val="3FB8F229"/>
    <w:pPr>
      <w:spacing w:beforeAutospacing="1" w:afterAutospacing="1"/>
    </w:pPr>
    <w:rPr>
      <w:rFonts w:ascii="Times New Roman" w:hAnsi="Times New Roman" w:eastAsia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4EA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24EA2"/>
  </w:style>
  <w:style w:type="paragraph" w:styleId="Stopka">
    <w:name w:val="footer"/>
    <w:basedOn w:val="Normalny"/>
    <w:link w:val="StopkaZnak"/>
    <w:uiPriority w:val="99"/>
    <w:unhideWhenUsed/>
    <w:rsid w:val="00724EA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24E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975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379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797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A61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equinix.pl/?ls=Public%20Relations&amp;lsd=23q2__digital-infrastructure--_/_pr-equinix_pr-newswire_press-release__us-en_AMER_global-tech-trends-survey_awareness&amp;utm_campaign=us-en__press-release_global-tech-trends-survey_pr-equinix&amp;utm_source=&amp;utm_medium=press-release&amp;utm_content=digital-infrastructure--_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deploy.equinix.com/blog/data-center-liquid-cooling-in-production-what-weve-learned/?ls=Public%20Relations&amp;lsd=23q4__--_/blog/data-center-liquid-cooling-in-production-what-weve-learned/_pr-equinix_pr-newswire_press-release__us-en_AMER_liquid-cooling_awareness&amp;utm_campaign=us-en__press-release_liquid-cooling_pr-equinix&amp;utm_source=&amp;utm_medium=press-release&amp;utm_content=--_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log.equinix.com/blog/2023/09/26/exploring-liquid-cooling-for-next-gen-business-applications/?country_selector=Global%20(EN)?ls=Public%20Relations&amp;lsd=23q4__--_/blog/2023/09/26/exploring-liquid-cooling-for-next-gen-business-applications/?country_selector=Global%20(EN)_pr-equinix_pr-newswire_press-release__us-en_AMER_liquid-cooling_awareness&amp;utm_campaign=us-en__press-release_liquid-cooling_pr-equinix&amp;utm_source=&amp;utm_medium=press-release&amp;utm_content=--_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blog.equinix.com/blog/2023/11/29/3-trends-driving-liquid-cooling-for-data-centers/?ls=Public%20Relations&amp;lsd=23q4__--_/blog/2023/11/29/3-trends-driving-liquid-cooling-for-data-centers/_pr-equinix_pr-newswire_press-release__us-en_AMER_liquid-cooling_awareness&amp;utm_campaign=us-en__press-release_liquid-cooling_pr-equinix&amp;utm_source=&amp;utm_medium=press-release&amp;utm_content=--_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ey.com/content/dam/ey-sites/ey-com/pl_pl/noindex/2023/ey-ai-rapor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117b1a-9e42-4854-b79d-23a67df75aaa" xsi:nil="true"/>
    <TaxCatchAll xmlns="30792952-ed67-4a37-98e8-16bb33261804" xsi:nil="true"/>
    <lcf76f155ced4ddcb4097134ff3c332f xmlns="5c117b1a-9e42-4854-b79d-23a67df75a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660C03A2764B8124EDC84634E8F3" ma:contentTypeVersion="18" ma:contentTypeDescription="Utwórz nowy dokument." ma:contentTypeScope="" ma:versionID="91b318a2dc333a607ca17942119aac6e">
  <xsd:schema xmlns:xsd="http://www.w3.org/2001/XMLSchema" xmlns:xs="http://www.w3.org/2001/XMLSchema" xmlns:p="http://schemas.microsoft.com/office/2006/metadata/properties" xmlns:ns2="30792952-ed67-4a37-98e8-16bb33261804" xmlns:ns3="5c117b1a-9e42-4854-b79d-23a67df75aaa" targetNamespace="http://schemas.microsoft.com/office/2006/metadata/properties" ma:root="true" ma:fieldsID="2e0490fe2a82741510d142d9de161922" ns2:_="" ns3:_="">
    <xsd:import namespace="30792952-ed67-4a37-98e8-16bb33261804"/>
    <xsd:import namespace="5c117b1a-9e42-4854-b79d-23a67df75a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92952-ed67-4a37-98e8-16bb332618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51737ea-0937-41b4-9902-4ce8a209fa63}" ma:internalName="TaxCatchAll" ma:showField="CatchAllData" ma:web="30792952-ed67-4a37-98e8-16bb33261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17b1a-9e42-4854-b79d-23a67df75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72649fd-b21d-4f68-a2d6-ede9226ff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n zatwierdzenia" ma:internalName="Stan_x0020_zatwierdzenia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017E2-EF8D-4988-ABB1-1F250C4BBE40}">
  <ds:schemaRefs>
    <ds:schemaRef ds:uri="http://schemas.microsoft.com/office/2006/metadata/properties"/>
    <ds:schemaRef ds:uri="http://schemas.microsoft.com/office/infopath/2007/PartnerControls"/>
    <ds:schemaRef ds:uri="5c117b1a-9e42-4854-b79d-23a67df75aaa"/>
    <ds:schemaRef ds:uri="30792952-ed67-4a37-98e8-16bb33261804"/>
  </ds:schemaRefs>
</ds:datastoreItem>
</file>

<file path=customXml/itemProps2.xml><?xml version="1.0" encoding="utf-8"?>
<ds:datastoreItem xmlns:ds="http://schemas.openxmlformats.org/officeDocument/2006/customXml" ds:itemID="{9A28D1B4-B616-4CF0-A251-634BBB2F6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9125D-96A3-46F3-83B2-B17DB510E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92952-ed67-4a37-98e8-16bb33261804"/>
    <ds:schemaRef ds:uri="5c117b1a-9e42-4854-b79d-23a67df75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adb271-2fc7-4afe-a5ee-9de6a59f6bfb}" enabled="0" method="" siteId="{72adb271-2fc7-4afe-a5ee-9de6a59f6bf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Mateusz Maludziński</dc:creator>
  <keywords/>
  <dc:description/>
  <lastModifiedBy>Stefan Kaczmarek</lastModifiedBy>
  <revision>9</revision>
  <dcterms:created xsi:type="dcterms:W3CDTF">2024-02-16T22:54:00.0000000Z</dcterms:created>
  <dcterms:modified xsi:type="dcterms:W3CDTF">2024-02-29T07:38:45.3211403Z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0x010100B255660C03A2764B8124EDC84634E8F3</vt:lpwstr>
  </property>
  <property fmtid="{D5CDD505-2E9C-101B-9397-08002B2CF9AE}" pid="3" name="MediaServiceImageTags">
    <vt:lpwstr/>
  </property>
</Properties>
</file>