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47FB" w14:textId="4F813F90" w:rsidR="00B43416" w:rsidRDefault="00630502" w:rsidP="00A12C5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B43416">
        <w:rPr>
          <w:rFonts w:ascii="Calibri" w:hAnsi="Calibri" w:cs="Calibri"/>
          <w:b/>
          <w:bCs/>
          <w:sz w:val="32"/>
          <w:szCs w:val="32"/>
        </w:rPr>
        <w:t>4 na 10 nauczycieli zrealizowało bon na</w:t>
      </w:r>
      <w:r w:rsidR="00BE0AFD">
        <w:rPr>
          <w:rFonts w:ascii="Calibri" w:hAnsi="Calibri" w:cs="Calibri"/>
          <w:b/>
          <w:bCs/>
          <w:sz w:val="32"/>
          <w:szCs w:val="32"/>
        </w:rPr>
        <w:t xml:space="preserve"> zakup</w:t>
      </w:r>
      <w:r w:rsidRPr="00B43416">
        <w:rPr>
          <w:rFonts w:ascii="Calibri" w:hAnsi="Calibri" w:cs="Calibri"/>
          <w:b/>
          <w:bCs/>
          <w:sz w:val="32"/>
          <w:szCs w:val="32"/>
        </w:rPr>
        <w:t xml:space="preserve"> laptopa</w:t>
      </w:r>
    </w:p>
    <w:p w14:paraId="5A836B29" w14:textId="4BD3E280" w:rsidR="00D62CDB" w:rsidRPr="00D62CDB" w:rsidRDefault="00D62CDB" w:rsidP="002E41CB">
      <w:pPr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</w:rPr>
      </w:pPr>
      <w:r w:rsidRPr="00D62CDB">
        <w:rPr>
          <w:rFonts w:ascii="Calibri" w:hAnsi="Calibri" w:cs="Calibri"/>
          <w:b/>
          <w:bCs/>
        </w:rPr>
        <w:t>Najbardziej zaangażowane woj. Warmińsko-Mazurskie, najmniej – Mazowieckie</w:t>
      </w:r>
    </w:p>
    <w:p w14:paraId="1929DE3D" w14:textId="5D1003FF" w:rsidR="00630502" w:rsidRPr="00B43416" w:rsidRDefault="001D4420" w:rsidP="00817CFD">
      <w:pPr>
        <w:spacing w:after="240"/>
        <w:jc w:val="both"/>
        <w:rPr>
          <w:rFonts w:ascii="Calibri" w:hAnsi="Calibri" w:cs="Calibri"/>
          <w:b/>
          <w:bCs/>
        </w:rPr>
      </w:pPr>
      <w:r w:rsidRPr="32E6EDD3">
        <w:rPr>
          <w:rFonts w:ascii="Calibri" w:hAnsi="Calibri" w:cs="Calibri"/>
          <w:b/>
          <w:bCs/>
        </w:rPr>
        <w:t xml:space="preserve">Pod koniec stycznia 2024 roku na stronie rządowej zostały opublikowane dane dotyczące </w:t>
      </w:r>
      <w:r w:rsidR="00A17CDA" w:rsidRPr="32E6EDD3">
        <w:rPr>
          <w:rFonts w:ascii="Calibri" w:hAnsi="Calibri" w:cs="Calibri"/>
          <w:b/>
          <w:bCs/>
        </w:rPr>
        <w:t xml:space="preserve">programu </w:t>
      </w:r>
      <w:r w:rsidRPr="32E6EDD3">
        <w:rPr>
          <w:rFonts w:ascii="Calibri" w:hAnsi="Calibri" w:cs="Calibri"/>
          <w:b/>
          <w:bCs/>
        </w:rPr>
        <w:t xml:space="preserve">„Laptop dla nauczyciela”. Wynika z nich, że w całej Polsce przystąpiło </w:t>
      </w:r>
      <w:r w:rsidR="00A17CDA" w:rsidRPr="32E6EDD3">
        <w:rPr>
          <w:rFonts w:ascii="Calibri" w:hAnsi="Calibri" w:cs="Calibri"/>
          <w:b/>
          <w:bCs/>
        </w:rPr>
        <w:t xml:space="preserve">do niego 4 376 sklepów stacjonarnych oraz </w:t>
      </w:r>
      <w:r w:rsidRPr="32E6EDD3">
        <w:rPr>
          <w:rFonts w:ascii="Calibri" w:hAnsi="Calibri" w:cs="Calibri"/>
          <w:b/>
          <w:bCs/>
        </w:rPr>
        <w:t xml:space="preserve">329 392 nauczycieli, </w:t>
      </w:r>
      <w:r w:rsidR="00630502" w:rsidRPr="32E6EDD3">
        <w:rPr>
          <w:rFonts w:ascii="Calibri" w:hAnsi="Calibri" w:cs="Calibri"/>
          <w:b/>
          <w:bCs/>
        </w:rPr>
        <w:t xml:space="preserve">którzy wygenerowali </w:t>
      </w:r>
      <w:r w:rsidR="00B43416" w:rsidRPr="32E6EDD3">
        <w:rPr>
          <w:rFonts w:ascii="Calibri" w:hAnsi="Calibri" w:cs="Calibri"/>
          <w:b/>
          <w:bCs/>
        </w:rPr>
        <w:t>w</w:t>
      </w:r>
      <w:r w:rsidR="00A17CDA" w:rsidRPr="32E6EDD3">
        <w:rPr>
          <w:rFonts w:ascii="Calibri" w:hAnsi="Calibri" w:cs="Calibri"/>
          <w:b/>
          <w:bCs/>
        </w:rPr>
        <w:t>e właściwym</w:t>
      </w:r>
      <w:r w:rsidR="00B43416" w:rsidRPr="32E6EDD3">
        <w:rPr>
          <w:rFonts w:ascii="Calibri" w:hAnsi="Calibri" w:cs="Calibri"/>
          <w:b/>
          <w:bCs/>
        </w:rPr>
        <w:t xml:space="preserve"> terminie </w:t>
      </w:r>
      <w:r w:rsidR="00A17CDA" w:rsidRPr="32E6EDD3">
        <w:rPr>
          <w:rFonts w:ascii="Calibri" w:hAnsi="Calibri" w:cs="Calibri"/>
          <w:b/>
          <w:bCs/>
        </w:rPr>
        <w:t xml:space="preserve">swoje </w:t>
      </w:r>
      <w:r w:rsidR="00630502" w:rsidRPr="32E6EDD3">
        <w:rPr>
          <w:rFonts w:ascii="Calibri" w:hAnsi="Calibri" w:cs="Calibri"/>
          <w:b/>
          <w:bCs/>
        </w:rPr>
        <w:t>kody</w:t>
      </w:r>
      <w:r w:rsidR="008B3C15" w:rsidRPr="32E6EDD3">
        <w:rPr>
          <w:rFonts w:ascii="Calibri" w:hAnsi="Calibri" w:cs="Calibri"/>
          <w:b/>
          <w:bCs/>
        </w:rPr>
        <w:t>, umożliwiające zakup laptopa.</w:t>
      </w:r>
      <w:r w:rsidR="00DE604B" w:rsidRPr="32E6EDD3">
        <w:rPr>
          <w:rFonts w:ascii="Calibri" w:hAnsi="Calibri" w:cs="Calibri"/>
          <w:b/>
          <w:bCs/>
        </w:rPr>
        <w:t xml:space="preserve"> O</w:t>
      </w:r>
      <w:r w:rsidRPr="32E6EDD3">
        <w:rPr>
          <w:rFonts w:ascii="Calibri" w:hAnsi="Calibri" w:cs="Calibri"/>
          <w:b/>
          <w:bCs/>
        </w:rPr>
        <w:t>d października 2023 roku</w:t>
      </w:r>
      <w:r w:rsidR="00DE604B" w:rsidRPr="32E6EDD3">
        <w:rPr>
          <w:rFonts w:ascii="Calibri" w:hAnsi="Calibri" w:cs="Calibri"/>
          <w:b/>
          <w:bCs/>
        </w:rPr>
        <w:t xml:space="preserve"> </w:t>
      </w:r>
      <w:r w:rsidR="00630502" w:rsidRPr="32E6EDD3">
        <w:rPr>
          <w:rFonts w:ascii="Calibri" w:hAnsi="Calibri" w:cs="Calibri"/>
          <w:b/>
          <w:bCs/>
        </w:rPr>
        <w:t>świadczenia zrealizowało 144 027 nauczycieli, co oznacza</w:t>
      </w:r>
      <w:r w:rsidR="00B43416" w:rsidRPr="32E6EDD3">
        <w:rPr>
          <w:rFonts w:ascii="Calibri" w:hAnsi="Calibri" w:cs="Calibri"/>
          <w:b/>
          <w:bCs/>
        </w:rPr>
        <w:t xml:space="preserve"> </w:t>
      </w:r>
      <w:r w:rsidR="00A17CDA" w:rsidRPr="32E6EDD3">
        <w:rPr>
          <w:rFonts w:ascii="Calibri" w:hAnsi="Calibri" w:cs="Calibri"/>
          <w:b/>
          <w:bCs/>
        </w:rPr>
        <w:t xml:space="preserve">43,72 proc. </w:t>
      </w:r>
      <w:r w:rsidR="00535EB5" w:rsidRPr="32E6EDD3">
        <w:rPr>
          <w:rFonts w:ascii="Calibri" w:hAnsi="Calibri" w:cs="Calibri"/>
          <w:b/>
          <w:bCs/>
        </w:rPr>
        <w:t>udział w programie</w:t>
      </w:r>
      <w:r w:rsidR="00A17CDA" w:rsidRPr="32E6EDD3">
        <w:rPr>
          <w:rFonts w:ascii="Calibri" w:hAnsi="Calibri" w:cs="Calibri"/>
          <w:b/>
          <w:bCs/>
        </w:rPr>
        <w:t>.</w:t>
      </w:r>
    </w:p>
    <w:p w14:paraId="43B10320" w14:textId="6DA1CA4E" w:rsidR="00535EB5" w:rsidRPr="00535EB5" w:rsidRDefault="00535EB5" w:rsidP="00817CFD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535EB5">
        <w:rPr>
          <w:rFonts w:ascii="Calibri" w:hAnsi="Calibri" w:cs="Calibri"/>
          <w:sz w:val="22"/>
          <w:szCs w:val="22"/>
        </w:rPr>
        <w:t>Program „Laptop dla nauczyciela” to wspólna inicjatywa Ministerstwa Edukacji i Nauki oraz ministra cyfryzacji, polegająca na wsparciu finansowym. W jego ramach nauczyciele mogą otrzymać bon o wartości 2500 zł brutto na zakup nowego laptopa lub laptopa przeglądarkowego. Świadczenie jest jednorazowe i nie podlega wymianie na gotówkę.</w:t>
      </w:r>
    </w:p>
    <w:p w14:paraId="56CDE7A0" w14:textId="7119483B" w:rsidR="00535EB5" w:rsidRPr="008B3C15" w:rsidRDefault="00535EB5" w:rsidP="00817CFD">
      <w:pPr>
        <w:spacing w:after="240"/>
        <w:jc w:val="both"/>
        <w:rPr>
          <w:rFonts w:ascii="Calibri" w:hAnsi="Calibri" w:cs="Calibri"/>
          <w:b/>
          <w:bCs/>
          <w:sz w:val="22"/>
          <w:szCs w:val="22"/>
        </w:rPr>
      </w:pPr>
      <w:r w:rsidRPr="32E6EDD3">
        <w:rPr>
          <w:rFonts w:ascii="Calibri" w:hAnsi="Calibri" w:cs="Calibri"/>
          <w:b/>
          <w:bCs/>
          <w:sz w:val="22"/>
          <w:szCs w:val="22"/>
        </w:rPr>
        <w:t xml:space="preserve">Jak wygląda udział dydaktyków w tym przedsięwzięciu </w:t>
      </w:r>
      <w:r w:rsidR="08A82126" w:rsidRPr="32E6EDD3">
        <w:rPr>
          <w:rFonts w:ascii="Calibri" w:hAnsi="Calibri" w:cs="Calibri"/>
          <w:b/>
          <w:bCs/>
          <w:sz w:val="22"/>
          <w:szCs w:val="22"/>
        </w:rPr>
        <w:t xml:space="preserve">w </w:t>
      </w:r>
      <w:r w:rsidRPr="32E6EDD3">
        <w:rPr>
          <w:rFonts w:ascii="Calibri" w:hAnsi="Calibri" w:cs="Calibri"/>
          <w:b/>
          <w:bCs/>
          <w:sz w:val="22"/>
          <w:szCs w:val="22"/>
        </w:rPr>
        <w:t>podziale na województwa? O czym warto pamiętać i na co zwrócić uwagę? Do kiedy nauczyciele mają czas na realizację kodów, żeby nie przegapić możliwości partycypowania w programie?</w:t>
      </w:r>
    </w:p>
    <w:p w14:paraId="3EF8D11C" w14:textId="5D9AC300" w:rsidR="008B3C15" w:rsidRPr="00D62CDB" w:rsidRDefault="008B3C15" w:rsidP="008B3C1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D62CDB">
        <w:rPr>
          <w:rFonts w:ascii="Calibri" w:hAnsi="Calibri" w:cs="Calibri"/>
          <w:b/>
          <w:bCs/>
          <w:sz w:val="22"/>
          <w:szCs w:val="22"/>
        </w:rPr>
        <w:t xml:space="preserve">Program „Laptop dla nauczyciela” cieszy się największym zainteresowaniem w województwie Warmińsko-Mazurskim – zrealizowało go do tej pory 5 653 nauczycieli spośród 11 791, co oznacza udział </w:t>
      </w:r>
      <w:r>
        <w:rPr>
          <w:rFonts w:ascii="Calibri" w:hAnsi="Calibri" w:cs="Calibri"/>
          <w:b/>
          <w:bCs/>
          <w:sz w:val="22"/>
          <w:szCs w:val="22"/>
        </w:rPr>
        <w:t xml:space="preserve">w tym regionie </w:t>
      </w:r>
      <w:r w:rsidRPr="00D62CDB">
        <w:rPr>
          <w:rFonts w:ascii="Calibri" w:hAnsi="Calibri" w:cs="Calibri"/>
          <w:b/>
          <w:bCs/>
          <w:sz w:val="22"/>
          <w:szCs w:val="22"/>
        </w:rPr>
        <w:t>na poziomie 47,94 proc.</w:t>
      </w:r>
    </w:p>
    <w:p w14:paraId="6A7AF629" w14:textId="77777777" w:rsidR="008B3C15" w:rsidRPr="00D62CDB" w:rsidRDefault="008B3C15" w:rsidP="008B3C1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62CDB">
        <w:rPr>
          <w:rFonts w:ascii="Calibri" w:hAnsi="Calibri" w:cs="Calibri"/>
          <w:b/>
          <w:bCs/>
          <w:sz w:val="22"/>
          <w:szCs w:val="22"/>
        </w:rPr>
        <w:t>Na drugim miejscu znaleźli się nauczyciele z woj. Lubuskiego</w:t>
      </w:r>
      <w:r w:rsidRPr="00D62CDB">
        <w:rPr>
          <w:rFonts w:ascii="Calibri" w:hAnsi="Calibri" w:cs="Calibri"/>
          <w:sz w:val="22"/>
          <w:szCs w:val="22"/>
        </w:rPr>
        <w:t xml:space="preserve"> – 3 667 z 7 833 i 46,81 proc. uczestnictwo w programie.</w:t>
      </w:r>
    </w:p>
    <w:p w14:paraId="0D361819" w14:textId="142DB44E" w:rsidR="008B3C15" w:rsidRPr="008B3C15" w:rsidRDefault="008B3C15" w:rsidP="008B3C15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62CDB">
        <w:rPr>
          <w:rFonts w:ascii="Calibri" w:hAnsi="Calibri" w:cs="Calibri"/>
          <w:b/>
          <w:bCs/>
          <w:sz w:val="22"/>
          <w:szCs w:val="22"/>
        </w:rPr>
        <w:t>Natomiast na trzecim – Świętokrzyskiego.</w:t>
      </w:r>
      <w:r w:rsidRPr="00D62CDB">
        <w:rPr>
          <w:rFonts w:ascii="Calibri" w:hAnsi="Calibri" w:cs="Calibri"/>
          <w:sz w:val="22"/>
          <w:szCs w:val="22"/>
        </w:rPr>
        <w:t xml:space="preserve"> Swój kod zrealizowało do tej pory 4 918 nauczycieli spośród 10 646, co oznacza 46,19 proc. udział.</w:t>
      </w:r>
    </w:p>
    <w:p w14:paraId="1417DFC3" w14:textId="7E06F3BB" w:rsidR="0050543A" w:rsidRPr="00D62CDB" w:rsidRDefault="002E41CB" w:rsidP="00817CFD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62CDB">
        <w:rPr>
          <w:rFonts w:ascii="Calibri" w:hAnsi="Calibri" w:cs="Calibri"/>
          <w:b/>
          <w:bCs/>
          <w:sz w:val="22"/>
          <w:szCs w:val="22"/>
        </w:rPr>
        <w:t>Najwięcej</w:t>
      </w:r>
      <w:r w:rsidR="00D62CDB" w:rsidRPr="00D62CDB">
        <w:rPr>
          <w:rFonts w:ascii="Calibri" w:hAnsi="Calibri" w:cs="Calibri"/>
          <w:b/>
          <w:bCs/>
          <w:sz w:val="22"/>
          <w:szCs w:val="22"/>
        </w:rPr>
        <w:t xml:space="preserve"> kodów (21 091)</w:t>
      </w:r>
      <w:r w:rsidRPr="00D62CDB">
        <w:rPr>
          <w:rFonts w:ascii="Calibri" w:hAnsi="Calibri" w:cs="Calibri"/>
          <w:b/>
          <w:bCs/>
          <w:sz w:val="22"/>
          <w:szCs w:val="22"/>
        </w:rPr>
        <w:t>, biorąc pod uwagę województw</w:t>
      </w:r>
      <w:r w:rsidR="00D62CDB" w:rsidRPr="00D62CDB">
        <w:rPr>
          <w:rFonts w:ascii="Calibri" w:hAnsi="Calibri" w:cs="Calibri"/>
          <w:b/>
          <w:bCs/>
          <w:sz w:val="22"/>
          <w:szCs w:val="22"/>
        </w:rPr>
        <w:t xml:space="preserve">a, </w:t>
      </w:r>
      <w:r w:rsidRPr="00D62CDB">
        <w:rPr>
          <w:rFonts w:ascii="Calibri" w:hAnsi="Calibri" w:cs="Calibri"/>
          <w:b/>
          <w:bCs/>
          <w:sz w:val="22"/>
          <w:szCs w:val="22"/>
        </w:rPr>
        <w:t xml:space="preserve">zrealizowali nauczyciele </w:t>
      </w:r>
      <w:r w:rsidR="008B3C15">
        <w:rPr>
          <w:rFonts w:ascii="Calibri" w:hAnsi="Calibri" w:cs="Calibri"/>
          <w:b/>
          <w:bCs/>
          <w:sz w:val="22"/>
          <w:szCs w:val="22"/>
        </w:rPr>
        <w:t>z</w:t>
      </w:r>
      <w:r w:rsidR="0050543A" w:rsidRPr="00D62CDB">
        <w:rPr>
          <w:rFonts w:ascii="Calibri" w:hAnsi="Calibri" w:cs="Calibri"/>
          <w:b/>
          <w:bCs/>
          <w:sz w:val="22"/>
          <w:szCs w:val="22"/>
        </w:rPr>
        <w:t xml:space="preserve"> Mazowiecki</w:t>
      </w:r>
      <w:r w:rsidR="008B3C15">
        <w:rPr>
          <w:rFonts w:ascii="Calibri" w:hAnsi="Calibri" w:cs="Calibri"/>
          <w:b/>
          <w:bCs/>
          <w:sz w:val="22"/>
          <w:szCs w:val="22"/>
        </w:rPr>
        <w:t>ego.</w:t>
      </w:r>
    </w:p>
    <w:p w14:paraId="49285798" w14:textId="527EDE46" w:rsidR="00630502" w:rsidRPr="00D62CDB" w:rsidRDefault="00D62CDB" w:rsidP="00817CFD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62CDB">
        <w:rPr>
          <w:rFonts w:ascii="Calibri" w:hAnsi="Calibri" w:cs="Calibri"/>
          <w:sz w:val="22"/>
          <w:szCs w:val="22"/>
        </w:rPr>
        <w:t>Niestety, j</w:t>
      </w:r>
      <w:r w:rsidR="0050543A" w:rsidRPr="00D62CDB">
        <w:rPr>
          <w:rFonts w:ascii="Calibri" w:hAnsi="Calibri" w:cs="Calibri"/>
          <w:sz w:val="22"/>
          <w:szCs w:val="22"/>
        </w:rPr>
        <w:t xml:space="preserve">eśli chodzi o procentowy podział, </w:t>
      </w:r>
      <w:r w:rsidR="0050543A" w:rsidRPr="00D62CDB">
        <w:rPr>
          <w:rFonts w:ascii="Calibri" w:hAnsi="Calibri" w:cs="Calibri"/>
          <w:b/>
          <w:bCs/>
          <w:sz w:val="22"/>
          <w:szCs w:val="22"/>
        </w:rPr>
        <w:t>czyni to dydaktyków z centrum i okolic Polski najmniej zaangażowanymi spośród przedstawicieli pozostałych 15 województw</w:t>
      </w:r>
      <w:r w:rsidR="008B3C15">
        <w:rPr>
          <w:rFonts w:ascii="Calibri" w:hAnsi="Calibri" w:cs="Calibri"/>
          <w:b/>
          <w:bCs/>
          <w:sz w:val="22"/>
          <w:szCs w:val="22"/>
        </w:rPr>
        <w:t>.</w:t>
      </w:r>
      <w:r w:rsidR="0050543A" w:rsidRPr="00D62CD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B3C15">
        <w:rPr>
          <w:rFonts w:ascii="Calibri" w:hAnsi="Calibri" w:cs="Calibri"/>
          <w:b/>
          <w:bCs/>
          <w:sz w:val="22"/>
          <w:szCs w:val="22"/>
        </w:rPr>
        <w:t>W woj. Mazowieckim z programu skorzystało</w:t>
      </w:r>
      <w:r w:rsidR="0050543A" w:rsidRPr="00D62CD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B3C15">
        <w:rPr>
          <w:rFonts w:ascii="Calibri" w:hAnsi="Calibri" w:cs="Calibri"/>
          <w:b/>
          <w:bCs/>
          <w:sz w:val="22"/>
          <w:szCs w:val="22"/>
        </w:rPr>
        <w:t xml:space="preserve">na razie </w:t>
      </w:r>
      <w:r w:rsidR="0050543A" w:rsidRPr="00D62CDB">
        <w:rPr>
          <w:rFonts w:ascii="Calibri" w:hAnsi="Calibri" w:cs="Calibri"/>
          <w:b/>
          <w:bCs/>
          <w:sz w:val="22"/>
          <w:szCs w:val="22"/>
        </w:rPr>
        <w:t>41,59 proc. z 50 704 uprawnionych do odebrania bonu</w:t>
      </w:r>
      <w:r w:rsidR="0050543A" w:rsidRPr="00D62CDB">
        <w:rPr>
          <w:rFonts w:ascii="Calibri" w:hAnsi="Calibri" w:cs="Calibri"/>
          <w:sz w:val="22"/>
          <w:szCs w:val="22"/>
        </w:rPr>
        <w:t>.</w:t>
      </w:r>
    </w:p>
    <w:p w14:paraId="2537A23C" w14:textId="4369B074" w:rsidR="0050543A" w:rsidRPr="008B3C15" w:rsidRDefault="0050543A" w:rsidP="00817CFD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B3C15">
        <w:rPr>
          <w:rFonts w:ascii="Calibri" w:hAnsi="Calibri" w:cs="Calibri"/>
          <w:b/>
          <w:bCs/>
          <w:sz w:val="22"/>
          <w:szCs w:val="22"/>
        </w:rPr>
        <w:t>Na kolejnych – 2. i 3. miejscu „niechlubnego” podium – znajdują się woj. Pomorskie (42,07 proc.) oraz Śląskie (42,44 proc.</w:t>
      </w:r>
      <w:r w:rsidR="008B3C15" w:rsidRPr="008B3C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B3C15">
        <w:rPr>
          <w:rFonts w:ascii="Calibri" w:hAnsi="Calibri" w:cs="Calibri"/>
          <w:b/>
          <w:bCs/>
          <w:sz w:val="22"/>
          <w:szCs w:val="22"/>
        </w:rPr>
        <w:t>zrealizowanych kodów</w:t>
      </w:r>
      <w:r w:rsidR="008B3C15" w:rsidRPr="008B3C15">
        <w:rPr>
          <w:rFonts w:ascii="Calibri" w:hAnsi="Calibri" w:cs="Calibri"/>
          <w:b/>
          <w:bCs/>
          <w:sz w:val="22"/>
          <w:szCs w:val="22"/>
        </w:rPr>
        <w:t>).</w:t>
      </w:r>
    </w:p>
    <w:p w14:paraId="50A22950" w14:textId="224751EE" w:rsidR="00535EB5" w:rsidRPr="00535EB5" w:rsidRDefault="00D62CDB" w:rsidP="00817CFD">
      <w:pPr>
        <w:pStyle w:val="Akapitzlist"/>
        <w:numPr>
          <w:ilvl w:val="0"/>
          <w:numId w:val="6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D62CDB">
        <w:rPr>
          <w:rFonts w:ascii="Calibri" w:hAnsi="Calibri" w:cs="Calibri"/>
          <w:sz w:val="22"/>
          <w:szCs w:val="22"/>
        </w:rPr>
        <w:t xml:space="preserve">Kolejne miejsca wyglądają następująco – 4. woj. Kujawsko-Pomorskie (45,88 proc.), 5. Podlaskie (45,50), 6. Podkarpackie (45,32 proc.), </w:t>
      </w:r>
      <w:r>
        <w:rPr>
          <w:rFonts w:ascii="Calibri" w:hAnsi="Calibri" w:cs="Calibri"/>
          <w:sz w:val="22"/>
          <w:szCs w:val="22"/>
        </w:rPr>
        <w:t xml:space="preserve">7. </w:t>
      </w:r>
      <w:r w:rsidR="008B3E84">
        <w:rPr>
          <w:rFonts w:ascii="Calibri" w:hAnsi="Calibri" w:cs="Calibri"/>
          <w:sz w:val="22"/>
          <w:szCs w:val="22"/>
        </w:rPr>
        <w:t>Dolnośląskie (44,92 proc.), 8. Lubelskie (44,62 proc.), 9. Opolskie (43,58 proc.), 10. Małopolskie (43,50 proc.), 11. Wielkopolskie (43,31 proc.), 12.</w:t>
      </w:r>
      <w:r w:rsidR="00817CFD">
        <w:rPr>
          <w:rFonts w:ascii="Calibri" w:hAnsi="Calibri" w:cs="Calibri"/>
          <w:sz w:val="22"/>
          <w:szCs w:val="22"/>
        </w:rPr>
        <w:t xml:space="preserve"> Łódzkie (43,49 proc.), 13. Zachodniopomorskie (43,03 proc.).</w:t>
      </w:r>
    </w:p>
    <w:p w14:paraId="441888EC" w14:textId="4651ACC6" w:rsidR="00BF3E4A" w:rsidRPr="00BF3E4A" w:rsidRDefault="00535EB5" w:rsidP="00817CFD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i/>
          <w:iCs/>
        </w:rPr>
        <w:t xml:space="preserve">To, że największa liczba nauczycieli z województwa Mazowieckiego zrealizowała do tej pory bony </w:t>
      </w:r>
      <w:r w:rsidR="00113EA2">
        <w:rPr>
          <w:rFonts w:ascii="Calibri" w:hAnsi="Calibri" w:cs="Calibri"/>
          <w:i/>
          <w:iCs/>
        </w:rPr>
        <w:t xml:space="preserve">na zakup laptopa </w:t>
      </w:r>
      <w:r>
        <w:rPr>
          <w:rFonts w:ascii="Calibri" w:hAnsi="Calibri" w:cs="Calibri"/>
          <w:i/>
          <w:iCs/>
        </w:rPr>
        <w:t xml:space="preserve">w programie nie jest czymś nadzwyczajnym. </w:t>
      </w:r>
      <w:r w:rsidR="00113EA2">
        <w:rPr>
          <w:rFonts w:ascii="Calibri" w:hAnsi="Calibri" w:cs="Calibri"/>
          <w:i/>
          <w:iCs/>
        </w:rPr>
        <w:t>Dane jasno pokazują</w:t>
      </w:r>
      <w:r w:rsidR="00BF3E4A">
        <w:rPr>
          <w:rFonts w:ascii="Calibri" w:hAnsi="Calibri" w:cs="Calibri"/>
          <w:i/>
          <w:iCs/>
        </w:rPr>
        <w:t xml:space="preserve">, że reprezentuje je najwięcej dydaktyków. O wiele bardziej znamienne jest to, że w stolicy i okolicach nauczyciele zrealizowali najmniej </w:t>
      </w:r>
      <w:r w:rsidR="00113EA2">
        <w:rPr>
          <w:rFonts w:ascii="Calibri" w:hAnsi="Calibri" w:cs="Calibri"/>
          <w:i/>
          <w:iCs/>
        </w:rPr>
        <w:t>kodów</w:t>
      </w:r>
      <w:r w:rsidR="00BF3E4A">
        <w:rPr>
          <w:rFonts w:ascii="Calibri" w:hAnsi="Calibri" w:cs="Calibri"/>
          <w:i/>
          <w:iCs/>
        </w:rPr>
        <w:t>, jeśli chodzi o procent tych, którzy przystąpili do programu.</w:t>
      </w:r>
      <w:r w:rsidR="00113EA2">
        <w:rPr>
          <w:rFonts w:ascii="Calibri" w:hAnsi="Calibri" w:cs="Calibri"/>
          <w:i/>
          <w:iCs/>
        </w:rPr>
        <w:t xml:space="preserve"> </w:t>
      </w:r>
      <w:r w:rsidR="00BF3E4A">
        <w:rPr>
          <w:rFonts w:ascii="Calibri" w:hAnsi="Calibri" w:cs="Calibri"/>
          <w:i/>
          <w:iCs/>
        </w:rPr>
        <w:t>Analogiczna sytuacja ma miejsce w innych licznie reprezentowanych województwach, takich jak Pomorskie (20 935), Śląskie (37 527) czy Wielkopolskie (31 192 uprawnionych)</w:t>
      </w:r>
      <w:r w:rsidR="00113EA2">
        <w:rPr>
          <w:rFonts w:ascii="Calibri" w:hAnsi="Calibri" w:cs="Calibri"/>
          <w:i/>
          <w:iCs/>
        </w:rPr>
        <w:t>. One</w:t>
      </w:r>
      <w:r w:rsidR="00BF3E4A">
        <w:rPr>
          <w:rFonts w:ascii="Calibri" w:hAnsi="Calibri" w:cs="Calibri"/>
          <w:i/>
          <w:iCs/>
        </w:rPr>
        <w:t xml:space="preserve"> także znalazły się poza pierwszą dziesiątką</w:t>
      </w:r>
      <w:r w:rsidR="00113EA2">
        <w:rPr>
          <w:rFonts w:ascii="Calibri" w:hAnsi="Calibri" w:cs="Calibri"/>
          <w:i/>
          <w:iCs/>
        </w:rPr>
        <w:t xml:space="preserve"> pod kątem realizacji przez nauczycieli bonów na zakup sprzętu</w:t>
      </w:r>
      <w:r w:rsidR="00BF3E4A">
        <w:rPr>
          <w:rFonts w:ascii="Calibri" w:hAnsi="Calibri" w:cs="Calibri"/>
          <w:i/>
          <w:iCs/>
        </w:rPr>
        <w:t xml:space="preserve"> </w:t>
      </w:r>
      <w:r w:rsidR="00BF3E4A">
        <w:rPr>
          <w:rFonts w:ascii="Calibri" w:hAnsi="Calibri" w:cs="Calibri"/>
        </w:rPr>
        <w:t xml:space="preserve">– analizuje </w:t>
      </w:r>
      <w:r w:rsidR="008B3C15">
        <w:rPr>
          <w:rFonts w:ascii="Calibri" w:hAnsi="Calibri" w:cs="Calibri"/>
        </w:rPr>
        <w:t xml:space="preserve">dane rządowe </w:t>
      </w:r>
      <w:r w:rsidR="00BF3E4A" w:rsidRPr="00BF3E4A">
        <w:rPr>
          <w:rFonts w:ascii="Calibri" w:hAnsi="Calibri" w:cs="Calibri"/>
          <w:b/>
          <w:bCs/>
        </w:rPr>
        <w:t>Karolina Pietz-Drapińska</w:t>
      </w:r>
      <w:r w:rsidR="00BF3E4A">
        <w:rPr>
          <w:rFonts w:ascii="Calibri" w:hAnsi="Calibri" w:cs="Calibri"/>
        </w:rPr>
        <w:t>, Dyrektor Marketingu i PR w firmie Komputronik S.A.</w:t>
      </w:r>
    </w:p>
    <w:p w14:paraId="2C1D518E" w14:textId="5518562E" w:rsidR="00535EB5" w:rsidRDefault="00113EA2" w:rsidP="00817CFD">
      <w:pPr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Czynniki zewnętrzne powodem zainteresowani</w:t>
      </w:r>
      <w:r w:rsidR="008B3C15">
        <w:rPr>
          <w:rFonts w:ascii="Calibri" w:hAnsi="Calibri" w:cs="Calibri"/>
          <w:b/>
          <w:bCs/>
        </w:rPr>
        <w:t xml:space="preserve">a </w:t>
      </w:r>
      <w:r>
        <w:rPr>
          <w:rFonts w:ascii="Calibri" w:hAnsi="Calibri" w:cs="Calibri"/>
          <w:b/>
          <w:bCs/>
        </w:rPr>
        <w:t>programem</w:t>
      </w:r>
    </w:p>
    <w:p w14:paraId="12847C85" w14:textId="1C5B9D1F" w:rsidR="00113EA2" w:rsidRDefault="00BF3E4A" w:rsidP="00817CFD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Okazuje się, że duży wpływ na </w:t>
      </w:r>
      <w:r w:rsidR="00113EA2">
        <w:rPr>
          <w:rFonts w:ascii="Calibri" w:hAnsi="Calibri" w:cs="Calibri"/>
        </w:rPr>
        <w:t xml:space="preserve">obecne </w:t>
      </w:r>
      <w:r>
        <w:rPr>
          <w:rFonts w:ascii="Calibri" w:hAnsi="Calibri" w:cs="Calibri"/>
        </w:rPr>
        <w:t xml:space="preserve">zainteresowanie programem </w:t>
      </w:r>
      <w:r w:rsidR="00113EA2">
        <w:rPr>
          <w:rFonts w:ascii="Calibri" w:hAnsi="Calibri" w:cs="Calibri"/>
        </w:rPr>
        <w:t>mogły mieć pandemia Covid-19</w:t>
      </w:r>
      <w:r w:rsidR="00F03F6E">
        <w:rPr>
          <w:rFonts w:ascii="Calibri" w:hAnsi="Calibri" w:cs="Calibri"/>
        </w:rPr>
        <w:t xml:space="preserve">. </w:t>
      </w:r>
    </w:p>
    <w:p w14:paraId="3C767D76" w14:textId="34EFBB62" w:rsidR="00113EA2" w:rsidRDefault="00113EA2" w:rsidP="00817CFD">
      <w:pPr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i/>
          <w:iCs/>
        </w:rPr>
        <w:t xml:space="preserve">Wpływ pandemii jest na pewno bardzo istotny w kontekście </w:t>
      </w:r>
      <w:r w:rsidR="00F03F6E">
        <w:rPr>
          <w:rFonts w:ascii="Calibri" w:hAnsi="Calibri" w:cs="Calibri"/>
          <w:i/>
          <w:iCs/>
        </w:rPr>
        <w:t xml:space="preserve">zainteresowania </w:t>
      </w:r>
      <w:r>
        <w:rPr>
          <w:rFonts w:ascii="Calibri" w:hAnsi="Calibri" w:cs="Calibri"/>
          <w:i/>
          <w:iCs/>
        </w:rPr>
        <w:t>progra</w:t>
      </w:r>
      <w:r w:rsidR="00F03F6E">
        <w:rPr>
          <w:rFonts w:ascii="Calibri" w:hAnsi="Calibri" w:cs="Calibri"/>
          <w:i/>
          <w:iCs/>
        </w:rPr>
        <w:t>mem</w:t>
      </w:r>
      <w:r>
        <w:rPr>
          <w:rFonts w:ascii="Calibri" w:hAnsi="Calibri" w:cs="Calibri"/>
          <w:i/>
          <w:iCs/>
        </w:rPr>
        <w:t xml:space="preserve"> „Laptop dla nauczyciela”. Przeszliśmy </w:t>
      </w:r>
      <w:r w:rsidR="00F03F6E">
        <w:rPr>
          <w:rFonts w:ascii="Calibri" w:hAnsi="Calibri" w:cs="Calibri"/>
          <w:i/>
          <w:iCs/>
        </w:rPr>
        <w:t xml:space="preserve">wtedy </w:t>
      </w:r>
      <w:r>
        <w:rPr>
          <w:rFonts w:ascii="Calibri" w:hAnsi="Calibri" w:cs="Calibri"/>
          <w:i/>
          <w:iCs/>
        </w:rPr>
        <w:t>na pracę i naukę zdalną, a cyfryzacja przyspieszyła. Ci, którzy dysponowali starszym sprzętem, zmodernizowali go</w:t>
      </w:r>
      <w:r w:rsidR="00F03F6E">
        <w:rPr>
          <w:rFonts w:ascii="Calibri" w:hAnsi="Calibri" w:cs="Calibri"/>
          <w:i/>
          <w:iCs/>
        </w:rPr>
        <w:t>. Biorąc pod uwagę fakt, że laptopa kupuje się na kilka lat, minie zapewne jeszcze pewien czas, zanim niektórzy nauczyciele zdecydują się na wymianę sprzętu. Ci, którzy tego nie zrobili, a mają potrzebę, mogą to uczynić na początku roku, gdy sklepy oferują promocje</w:t>
      </w:r>
      <w:r w:rsidR="008B3C15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– komentuje </w:t>
      </w:r>
      <w:r w:rsidRPr="00BF3E4A">
        <w:rPr>
          <w:rFonts w:ascii="Calibri" w:hAnsi="Calibri" w:cs="Calibri"/>
          <w:b/>
          <w:bCs/>
        </w:rPr>
        <w:t>Karolina Pietz-Drapińska</w:t>
      </w:r>
      <w:r>
        <w:rPr>
          <w:rFonts w:ascii="Calibri" w:hAnsi="Calibri" w:cs="Calibri"/>
          <w:b/>
          <w:bCs/>
        </w:rPr>
        <w:t>.</w:t>
      </w:r>
    </w:p>
    <w:p w14:paraId="6FC5F867" w14:textId="6F0CBCA0" w:rsidR="00113EA2" w:rsidRPr="008B3C15" w:rsidRDefault="008B3C15" w:rsidP="00F33E71">
      <w:pPr>
        <w:spacing w:after="24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Przełożenie na udział w programie mogą mieć również liczebność oraz rozwój województw. </w:t>
      </w:r>
      <w:r w:rsidR="00113EA2">
        <w:rPr>
          <w:rFonts w:ascii="Calibri" w:hAnsi="Calibri" w:cs="Calibri"/>
        </w:rPr>
        <w:t xml:space="preserve">Jak wynika z </w:t>
      </w:r>
      <w:hyperlink r:id="rId5" w:history="1">
        <w:r w:rsidR="00113EA2" w:rsidRPr="00817CFD">
          <w:rPr>
            <w:rStyle w:val="Hipercze"/>
            <w:rFonts w:ascii="Calibri" w:hAnsi="Calibri" w:cs="Calibri"/>
          </w:rPr>
          <w:t>danych GUS</w:t>
        </w:r>
      </w:hyperlink>
      <w:r w:rsidR="00113EA2">
        <w:rPr>
          <w:rFonts w:ascii="Calibri" w:hAnsi="Calibri" w:cs="Calibri"/>
        </w:rPr>
        <w:t xml:space="preserve">, </w:t>
      </w:r>
      <w:r w:rsidR="00F03F6E">
        <w:rPr>
          <w:rFonts w:ascii="Calibri" w:hAnsi="Calibri" w:cs="Calibri"/>
        </w:rPr>
        <w:t xml:space="preserve">sam region stołeczny (Warszawa) generuje 17,3 proc. polskiego PKB. </w:t>
      </w:r>
      <w:r w:rsidR="00817CFD">
        <w:rPr>
          <w:rFonts w:ascii="Calibri" w:hAnsi="Calibri" w:cs="Calibri"/>
        </w:rPr>
        <w:t>Wraz z województw</w:t>
      </w:r>
      <w:r w:rsidR="003849A5">
        <w:rPr>
          <w:rFonts w:ascii="Calibri" w:hAnsi="Calibri" w:cs="Calibri"/>
        </w:rPr>
        <w:t>ami</w:t>
      </w:r>
      <w:r w:rsidR="00817CFD">
        <w:rPr>
          <w:rFonts w:ascii="Calibri" w:hAnsi="Calibri" w:cs="Calibri"/>
        </w:rPr>
        <w:t xml:space="preserve"> Mazowieckim (regionalnym) – 5,3 proc., Śląskim (12 proc.) </w:t>
      </w:r>
      <w:r w:rsidR="003849A5">
        <w:rPr>
          <w:rFonts w:ascii="Calibri" w:hAnsi="Calibri" w:cs="Calibri"/>
        </w:rPr>
        <w:t xml:space="preserve">oraz Wielkopolskim (9,9 proc.) daje to łączny 44,5 proc. udział w PKB naszego kraju. Pokazuje to, że jednostki administracyjne, w których znajduje się wiele rozwiniętych miast, mają duży wpływ na </w:t>
      </w:r>
      <w:r w:rsidR="00F33E71">
        <w:rPr>
          <w:rFonts w:ascii="Calibri" w:hAnsi="Calibri" w:cs="Calibri"/>
        </w:rPr>
        <w:t xml:space="preserve">polską gospodarkę. </w:t>
      </w:r>
      <w:r w:rsidR="00817CFD">
        <w:rPr>
          <w:rFonts w:ascii="Calibri" w:hAnsi="Calibri" w:cs="Calibri"/>
        </w:rPr>
        <w:t xml:space="preserve">Dla porównania, woj. </w:t>
      </w:r>
      <w:r w:rsidR="00F33E71">
        <w:rPr>
          <w:rFonts w:ascii="Calibri" w:hAnsi="Calibri" w:cs="Calibri"/>
        </w:rPr>
        <w:t>Lubuskie (2,1 proc.), Podlaskie (2,2 proc.), Świętokrzyskie (2,3 proc.), Warmińsko-Mazurskie (2,6 proc.) odpowiadają za 9,2 proc. PKB Polski.</w:t>
      </w:r>
    </w:p>
    <w:p w14:paraId="1CC77BC5" w14:textId="3826744A" w:rsidR="00A17CDA" w:rsidRPr="00F33E71" w:rsidRDefault="00F33E71" w:rsidP="00F33E71">
      <w:pPr>
        <w:spacing w:after="240"/>
        <w:jc w:val="both"/>
        <w:rPr>
          <w:rFonts w:ascii="Calibri" w:hAnsi="Calibri" w:cs="Calibri"/>
        </w:rPr>
      </w:pPr>
      <w:r w:rsidRPr="32E6EDD3">
        <w:rPr>
          <w:rFonts w:ascii="Calibri" w:hAnsi="Calibri" w:cs="Calibri"/>
        </w:rPr>
        <w:t xml:space="preserve">- </w:t>
      </w:r>
      <w:r w:rsidR="00BF3E4A" w:rsidRPr="32E6EDD3">
        <w:rPr>
          <w:rFonts w:ascii="Calibri" w:hAnsi="Calibri" w:cs="Calibri"/>
          <w:i/>
          <w:iCs/>
        </w:rPr>
        <w:t xml:space="preserve">Analizując dokładnie dane </w:t>
      </w:r>
      <w:r w:rsidRPr="32E6EDD3">
        <w:rPr>
          <w:rFonts w:ascii="Calibri" w:hAnsi="Calibri" w:cs="Calibri"/>
          <w:i/>
          <w:iCs/>
        </w:rPr>
        <w:t>dotyczące udziału nauczycieli w dedykowanym im programie</w:t>
      </w:r>
      <w:r w:rsidR="008B3C15" w:rsidRPr="32E6EDD3">
        <w:rPr>
          <w:rFonts w:ascii="Calibri" w:hAnsi="Calibri" w:cs="Calibri"/>
          <w:i/>
          <w:iCs/>
        </w:rPr>
        <w:t>, a także</w:t>
      </w:r>
      <w:r w:rsidRPr="32E6EDD3">
        <w:rPr>
          <w:rFonts w:ascii="Calibri" w:hAnsi="Calibri" w:cs="Calibri"/>
          <w:i/>
          <w:iCs/>
        </w:rPr>
        <w:t xml:space="preserve"> zestawiając je z ostatnimi danymi GUS-u, widzimy, że zainteresowanie realizacją bon</w:t>
      </w:r>
      <w:r w:rsidR="008B3C15" w:rsidRPr="32E6EDD3">
        <w:rPr>
          <w:rFonts w:ascii="Calibri" w:hAnsi="Calibri" w:cs="Calibri"/>
          <w:i/>
          <w:iCs/>
        </w:rPr>
        <w:t>ów</w:t>
      </w:r>
      <w:r w:rsidRPr="32E6EDD3">
        <w:rPr>
          <w:rFonts w:ascii="Calibri" w:hAnsi="Calibri" w:cs="Calibri"/>
          <w:i/>
          <w:iCs/>
        </w:rPr>
        <w:t xml:space="preserve"> jest odwrotnie proporcjonalne do generowanego przez zamieszkujących dane województwo mieszkańców</w:t>
      </w:r>
      <w:r w:rsidR="008B3C15" w:rsidRPr="32E6EDD3">
        <w:rPr>
          <w:rFonts w:ascii="Calibri" w:hAnsi="Calibri" w:cs="Calibri"/>
          <w:i/>
          <w:iCs/>
        </w:rPr>
        <w:t xml:space="preserve"> PKB</w:t>
      </w:r>
      <w:r w:rsidRPr="32E6EDD3">
        <w:rPr>
          <w:rFonts w:ascii="Calibri" w:hAnsi="Calibri" w:cs="Calibri"/>
          <w:i/>
          <w:iCs/>
        </w:rPr>
        <w:t xml:space="preserve">. Nie jest tajemnicą, że duże ośrodki miejskie oferują więcej możliwości oraz większe zarobki. Interpretacja danych pozwala wysnuć wnioski, że nauczyciele z większych miast nie muszą mieć </w:t>
      </w:r>
      <w:r w:rsidR="008B3C15" w:rsidRPr="32E6EDD3">
        <w:rPr>
          <w:rFonts w:ascii="Calibri" w:hAnsi="Calibri" w:cs="Calibri"/>
          <w:i/>
          <w:iCs/>
        </w:rPr>
        <w:t xml:space="preserve">obecnie aż takiej </w:t>
      </w:r>
      <w:r w:rsidRPr="32E6EDD3">
        <w:rPr>
          <w:rFonts w:ascii="Calibri" w:hAnsi="Calibri" w:cs="Calibri"/>
          <w:i/>
          <w:iCs/>
        </w:rPr>
        <w:t xml:space="preserve">presji do wymiany sprzętu na nowy. Być może czekają na nowości technologiczne, które </w:t>
      </w:r>
      <w:r w:rsidR="78901A30" w:rsidRPr="32E6EDD3">
        <w:rPr>
          <w:rFonts w:ascii="Calibri" w:hAnsi="Calibri" w:cs="Calibri"/>
          <w:i/>
          <w:iCs/>
        </w:rPr>
        <w:t xml:space="preserve">już lub </w:t>
      </w:r>
      <w:r w:rsidRPr="32E6EDD3">
        <w:rPr>
          <w:rFonts w:ascii="Calibri" w:hAnsi="Calibri" w:cs="Calibri"/>
          <w:i/>
          <w:iCs/>
        </w:rPr>
        <w:t xml:space="preserve">niebawem będą się pojawiać w katalogach firm. Są też pewne kwestie, o których powinni pamiętać </w:t>
      </w:r>
      <w:r w:rsidRPr="32E6EDD3">
        <w:rPr>
          <w:rFonts w:ascii="Calibri" w:hAnsi="Calibri" w:cs="Calibri"/>
        </w:rPr>
        <w:t xml:space="preserve">– wyjaśnia </w:t>
      </w:r>
      <w:r w:rsidRPr="32E6EDD3">
        <w:rPr>
          <w:rFonts w:ascii="Calibri" w:hAnsi="Calibri" w:cs="Calibri"/>
          <w:b/>
          <w:bCs/>
        </w:rPr>
        <w:t>Karolina Pietz-Drapińska.</w:t>
      </w:r>
    </w:p>
    <w:p w14:paraId="4D3B60A2" w14:textId="79F71837" w:rsidR="00A17CDA" w:rsidRDefault="00A17CDA" w:rsidP="32E6EDD3">
      <w:pPr>
        <w:spacing w:after="240"/>
        <w:jc w:val="both"/>
        <w:rPr>
          <w:rFonts w:ascii="Calibri" w:hAnsi="Calibri" w:cs="Calibri"/>
          <w:b/>
          <w:bCs/>
        </w:rPr>
      </w:pPr>
      <w:r w:rsidRPr="32E6EDD3">
        <w:rPr>
          <w:rFonts w:ascii="Calibri" w:hAnsi="Calibri" w:cs="Calibri"/>
          <w:b/>
          <w:bCs/>
        </w:rPr>
        <w:t>O czym warto pamiętać?</w:t>
      </w:r>
    </w:p>
    <w:p w14:paraId="6E02B736" w14:textId="586E75B1" w:rsidR="00A17CDA" w:rsidRPr="00A17CDA" w:rsidRDefault="00A17CDA" w:rsidP="32E6EDD3">
      <w:pPr>
        <w:spacing w:after="240"/>
        <w:jc w:val="both"/>
        <w:rPr>
          <w:rFonts w:ascii="Calibri" w:hAnsi="Calibri" w:cs="Calibri"/>
        </w:rPr>
      </w:pPr>
      <w:r w:rsidRPr="32E6EDD3">
        <w:rPr>
          <w:rFonts w:ascii="Calibri" w:hAnsi="Calibri" w:cs="Calibri"/>
        </w:rPr>
        <w:t xml:space="preserve">Autorzy programu mają świadomość, że nauczyciele mają różne potrzeby. Ustawa daje im możliwość wyboru takiego </w:t>
      </w:r>
      <w:r w:rsidR="008B3C15" w:rsidRPr="32E6EDD3">
        <w:rPr>
          <w:rFonts w:ascii="Calibri" w:hAnsi="Calibri" w:cs="Calibri"/>
        </w:rPr>
        <w:t>laptopa</w:t>
      </w:r>
      <w:r w:rsidRPr="32E6EDD3">
        <w:rPr>
          <w:rFonts w:ascii="Calibri" w:hAnsi="Calibri" w:cs="Calibri"/>
        </w:rPr>
        <w:t>, jaki spełni ich oczekiwania i potrzeby w pracy. Korzystanie z nowoczesnego sprzętu pozwoli dydaktykom na skuteczniejszą realizację podstawy programowej, urozmaicanie prowadzonych lekcji, poszerzanie wiedzy i rozwój kompetencji cyfrowych uczniów.</w:t>
      </w:r>
    </w:p>
    <w:p w14:paraId="542C4708" w14:textId="70A50EB2" w:rsidR="00A17CDA" w:rsidRDefault="00A17CDA" w:rsidP="32E6EDD3">
      <w:pPr>
        <w:spacing w:after="240" w:line="259" w:lineRule="auto"/>
        <w:jc w:val="both"/>
        <w:rPr>
          <w:rFonts w:ascii="Calibri" w:hAnsi="Calibri" w:cs="Calibri"/>
        </w:rPr>
      </w:pPr>
      <w:r w:rsidRPr="32E6EDD3">
        <w:rPr>
          <w:rFonts w:ascii="Calibri" w:hAnsi="Calibri" w:cs="Calibri"/>
          <w:i/>
          <w:iCs/>
        </w:rPr>
        <w:t xml:space="preserve">- Nauczyciele powinni pamiętać o kilku kwestiach. Przede wszystkim o tym, że istnieje możliwość realizacji kodu i dopłacenia do laptopa, którym są zainteresowani – </w:t>
      </w:r>
      <w:r w:rsidR="3D1763A4" w:rsidRPr="32E6EDD3">
        <w:rPr>
          <w:rFonts w:ascii="Calibri" w:hAnsi="Calibri" w:cs="Calibri"/>
          <w:i/>
          <w:iCs/>
        </w:rPr>
        <w:t>w takim wypadku</w:t>
      </w:r>
      <w:r w:rsidRPr="32E6EDD3">
        <w:rPr>
          <w:rFonts w:ascii="Calibri" w:hAnsi="Calibri" w:cs="Calibri"/>
          <w:i/>
          <w:iCs/>
        </w:rPr>
        <w:t xml:space="preserve"> cena zostaje pomniejszona o wartość bonu. Po drugie</w:t>
      </w:r>
      <w:r w:rsidR="4A0C6029" w:rsidRPr="32E6EDD3">
        <w:rPr>
          <w:rFonts w:ascii="Calibri" w:hAnsi="Calibri" w:cs="Calibri"/>
          <w:i/>
          <w:iCs/>
        </w:rPr>
        <w:t xml:space="preserve"> – </w:t>
      </w:r>
      <w:r w:rsidRPr="32E6EDD3">
        <w:rPr>
          <w:rFonts w:ascii="Calibri" w:hAnsi="Calibri" w:cs="Calibri"/>
          <w:i/>
          <w:iCs/>
        </w:rPr>
        <w:t>istnieje</w:t>
      </w:r>
      <w:r w:rsidR="4A0C6029" w:rsidRPr="32E6EDD3">
        <w:rPr>
          <w:rFonts w:ascii="Calibri" w:hAnsi="Calibri" w:cs="Calibri"/>
          <w:i/>
          <w:iCs/>
        </w:rPr>
        <w:t xml:space="preserve"> </w:t>
      </w:r>
      <w:r w:rsidRPr="32E6EDD3">
        <w:rPr>
          <w:rFonts w:ascii="Calibri" w:hAnsi="Calibri" w:cs="Calibri"/>
          <w:i/>
          <w:iCs/>
        </w:rPr>
        <w:t>minimalna specyfikacja laptopów, które można zakupić przy wykorzystaniu kodu. Po trzecie</w:t>
      </w:r>
      <w:r w:rsidR="1080A1C5" w:rsidRPr="32E6EDD3">
        <w:rPr>
          <w:rFonts w:ascii="Calibri" w:hAnsi="Calibri" w:cs="Calibri"/>
          <w:i/>
          <w:iCs/>
        </w:rPr>
        <w:t xml:space="preserve"> – </w:t>
      </w:r>
      <w:r w:rsidRPr="32E6EDD3">
        <w:rPr>
          <w:rFonts w:ascii="Calibri" w:hAnsi="Calibri" w:cs="Calibri"/>
          <w:i/>
          <w:iCs/>
        </w:rPr>
        <w:t>sklepy</w:t>
      </w:r>
      <w:r w:rsidR="1080A1C5" w:rsidRPr="32E6EDD3">
        <w:rPr>
          <w:rFonts w:ascii="Calibri" w:hAnsi="Calibri" w:cs="Calibri"/>
          <w:i/>
          <w:iCs/>
        </w:rPr>
        <w:t xml:space="preserve"> </w:t>
      </w:r>
      <w:r w:rsidRPr="32E6EDD3">
        <w:rPr>
          <w:rFonts w:ascii="Calibri" w:hAnsi="Calibri" w:cs="Calibri"/>
          <w:i/>
          <w:iCs/>
        </w:rPr>
        <w:t>przygotowały na swoich stronach dedykowane oferty, zawierające sprzęt o minimalnych parametrach, któr</w:t>
      </w:r>
      <w:r w:rsidR="437DFA08" w:rsidRPr="32E6EDD3">
        <w:rPr>
          <w:rFonts w:ascii="Calibri" w:hAnsi="Calibri" w:cs="Calibri"/>
          <w:i/>
          <w:iCs/>
        </w:rPr>
        <w:t>y</w:t>
      </w:r>
      <w:r w:rsidRPr="32E6EDD3">
        <w:rPr>
          <w:rFonts w:ascii="Calibri" w:hAnsi="Calibri" w:cs="Calibri"/>
          <w:i/>
          <w:iCs/>
        </w:rPr>
        <w:t xml:space="preserve"> mo</w:t>
      </w:r>
      <w:r w:rsidR="75083D25" w:rsidRPr="32E6EDD3">
        <w:rPr>
          <w:rFonts w:ascii="Calibri" w:hAnsi="Calibri" w:cs="Calibri"/>
          <w:i/>
          <w:iCs/>
        </w:rPr>
        <w:t>że</w:t>
      </w:r>
      <w:r w:rsidRPr="32E6EDD3">
        <w:rPr>
          <w:rFonts w:ascii="Calibri" w:hAnsi="Calibri" w:cs="Calibri"/>
          <w:i/>
          <w:iCs/>
        </w:rPr>
        <w:t xml:space="preserve"> zostać zakupion</w:t>
      </w:r>
      <w:r w:rsidR="372D0AAB" w:rsidRPr="32E6EDD3">
        <w:rPr>
          <w:rFonts w:ascii="Calibri" w:hAnsi="Calibri" w:cs="Calibri"/>
          <w:i/>
          <w:iCs/>
        </w:rPr>
        <w:t>y</w:t>
      </w:r>
      <w:r w:rsidRPr="32E6EDD3">
        <w:rPr>
          <w:rFonts w:ascii="Calibri" w:hAnsi="Calibri" w:cs="Calibri"/>
          <w:i/>
          <w:iCs/>
        </w:rPr>
        <w:t xml:space="preserve"> w ramach programu. Dodatkowo prowad</w:t>
      </w:r>
      <w:r w:rsidR="00113EA2" w:rsidRPr="32E6EDD3">
        <w:rPr>
          <w:rFonts w:ascii="Calibri" w:hAnsi="Calibri" w:cs="Calibri"/>
          <w:i/>
          <w:iCs/>
        </w:rPr>
        <w:t xml:space="preserve">zą </w:t>
      </w:r>
      <w:r w:rsidR="008B3C15" w:rsidRPr="32E6EDD3">
        <w:rPr>
          <w:rFonts w:ascii="Calibri" w:hAnsi="Calibri" w:cs="Calibri"/>
          <w:i/>
          <w:iCs/>
        </w:rPr>
        <w:t xml:space="preserve">one </w:t>
      </w:r>
      <w:r w:rsidR="00113EA2" w:rsidRPr="32E6EDD3">
        <w:rPr>
          <w:rFonts w:ascii="Calibri" w:hAnsi="Calibri" w:cs="Calibri"/>
          <w:i/>
          <w:iCs/>
        </w:rPr>
        <w:t xml:space="preserve">akcje edukacyjne, uświadamiające nauczycieli na temat możliwości </w:t>
      </w:r>
      <w:r w:rsidRPr="32E6EDD3">
        <w:rPr>
          <w:rFonts w:ascii="Calibri" w:hAnsi="Calibri" w:cs="Calibri"/>
        </w:rPr>
        <w:t xml:space="preserve">– wyjaśnia </w:t>
      </w:r>
      <w:r w:rsidRPr="32E6EDD3">
        <w:rPr>
          <w:rFonts w:ascii="Calibri" w:hAnsi="Calibri" w:cs="Calibri"/>
          <w:b/>
          <w:bCs/>
        </w:rPr>
        <w:t>Marcin Mordak</w:t>
      </w:r>
      <w:r w:rsidRPr="32E6EDD3">
        <w:rPr>
          <w:rFonts w:ascii="Calibri" w:hAnsi="Calibri" w:cs="Calibri"/>
        </w:rPr>
        <w:t>, Dyrektor Sieci Sprzedaży w Komputronik S.A.</w:t>
      </w:r>
    </w:p>
    <w:p w14:paraId="53CD0493" w14:textId="6D1CCB1E" w:rsidR="00F03F6E" w:rsidRPr="00F03F6E" w:rsidRDefault="00F03F6E" w:rsidP="00817CFD">
      <w:pPr>
        <w:pStyle w:val="NormalnyWeb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Aktualna</w:t>
      </w:r>
      <w:r w:rsidR="008B3C15">
        <w:rPr>
          <w:rStyle w:val="Pogrubienie"/>
          <w:rFonts w:ascii="Calibri" w:eastAsiaTheme="majorEastAsia" w:hAnsi="Calibri" w:cs="Calibri"/>
          <w:sz w:val="22"/>
          <w:szCs w:val="22"/>
        </w:rPr>
        <w:t>,</w:t>
      </w: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 xml:space="preserve"> </w:t>
      </w:r>
      <w:r w:rsidR="008B3C15">
        <w:rPr>
          <w:rStyle w:val="Pogrubienie"/>
          <w:rFonts w:ascii="Calibri" w:eastAsiaTheme="majorEastAsia" w:hAnsi="Calibri" w:cs="Calibri"/>
          <w:sz w:val="22"/>
          <w:szCs w:val="22"/>
        </w:rPr>
        <w:t xml:space="preserve">minimalna </w:t>
      </w: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specyfikacja laptopa dla nauczycieli (bon 2500 zł):</w:t>
      </w:r>
    </w:p>
    <w:p w14:paraId="7B355371" w14:textId="77777777" w:rsidR="00F03F6E" w:rsidRPr="00F03F6E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lastRenderedPageBreak/>
        <w:t>Typ: </w:t>
      </w:r>
      <w:r w:rsidRPr="00F03F6E">
        <w:rPr>
          <w:rFonts w:ascii="Calibri" w:hAnsi="Calibri" w:cs="Calibri"/>
          <w:sz w:val="22"/>
          <w:szCs w:val="22"/>
        </w:rPr>
        <w:t>laptop lub laptop przeglądarkowy</w:t>
      </w:r>
    </w:p>
    <w:p w14:paraId="47CF004D" w14:textId="77777777" w:rsidR="00F03F6E" w:rsidRPr="00F03F6E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System operacyjny:</w:t>
      </w:r>
      <w:r w:rsidRPr="00F03F6E">
        <w:rPr>
          <w:rFonts w:ascii="Calibri" w:hAnsi="Calibri" w:cs="Calibri"/>
          <w:sz w:val="22"/>
          <w:szCs w:val="22"/>
        </w:rPr>
        <w:t> 64-bitowy, w języku polskim</w:t>
      </w:r>
    </w:p>
    <w:p w14:paraId="6B4B532D" w14:textId="77777777" w:rsidR="00F03F6E" w:rsidRPr="00F03F6E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Pamięć RAM:</w:t>
      </w:r>
      <w:r w:rsidRPr="00F03F6E">
        <w:rPr>
          <w:rFonts w:ascii="Calibri" w:hAnsi="Calibri" w:cs="Calibri"/>
          <w:sz w:val="22"/>
          <w:szCs w:val="22"/>
        </w:rPr>
        <w:t> co najmniej 8 GB</w:t>
      </w:r>
    </w:p>
    <w:p w14:paraId="43C2D0F2" w14:textId="77777777" w:rsidR="00F03F6E" w:rsidRPr="00F03F6E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Dysk:</w:t>
      </w:r>
      <w:r w:rsidRPr="00F03F6E">
        <w:rPr>
          <w:rFonts w:ascii="Calibri" w:hAnsi="Calibri" w:cs="Calibri"/>
          <w:sz w:val="22"/>
          <w:szCs w:val="22"/>
        </w:rPr>
        <w:t> SSD o pojemności co najmniej 256 GB</w:t>
      </w:r>
    </w:p>
    <w:p w14:paraId="23D6A776" w14:textId="77777777" w:rsidR="00F03F6E" w:rsidRPr="00F03F6E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Rozdzielczość ekranu:</w:t>
      </w:r>
      <w:r w:rsidRPr="00F03F6E">
        <w:rPr>
          <w:rFonts w:ascii="Calibri" w:hAnsi="Calibri" w:cs="Calibri"/>
          <w:sz w:val="22"/>
          <w:szCs w:val="22"/>
        </w:rPr>
        <w:t> Full HD lub wyższa</w:t>
      </w:r>
    </w:p>
    <w:p w14:paraId="7CE321A5" w14:textId="77777777" w:rsidR="00F03F6E" w:rsidRPr="00F03F6E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Rozmiar ekranu:</w:t>
      </w:r>
      <w:r w:rsidRPr="00F03F6E">
        <w:rPr>
          <w:rFonts w:ascii="Calibri" w:hAnsi="Calibri" w:cs="Calibri"/>
          <w:sz w:val="22"/>
          <w:szCs w:val="22"/>
        </w:rPr>
        <w:t> przekątna 13” lub większa</w:t>
      </w:r>
    </w:p>
    <w:p w14:paraId="308EB798" w14:textId="77777777" w:rsidR="00F03F6E" w:rsidRPr="00F03F6E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Złącza:</w:t>
      </w:r>
      <w:r w:rsidRPr="00F03F6E">
        <w:rPr>
          <w:rFonts w:ascii="Calibri" w:hAnsi="Calibri" w:cs="Calibri"/>
          <w:sz w:val="22"/>
          <w:szCs w:val="22"/>
        </w:rPr>
        <w:t> co najmniej dwa złącza komunikacyjne (w tym 1 wideo)</w:t>
      </w:r>
    </w:p>
    <w:p w14:paraId="6E261769" w14:textId="77777777" w:rsidR="00F03F6E" w:rsidRPr="00F03F6E" w:rsidRDefault="00F03F6E" w:rsidP="32E6EDD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32E6EDD3">
        <w:rPr>
          <w:rStyle w:val="Pogrubienie"/>
          <w:rFonts w:ascii="Calibri" w:eastAsiaTheme="majorEastAsia" w:hAnsi="Calibri" w:cs="Calibri"/>
          <w:sz w:val="22"/>
          <w:szCs w:val="22"/>
        </w:rPr>
        <w:t>Łączność:</w:t>
      </w:r>
      <w:r w:rsidRPr="32E6EDD3">
        <w:rPr>
          <w:rFonts w:ascii="Calibri" w:hAnsi="Calibri" w:cs="Calibri"/>
          <w:sz w:val="22"/>
          <w:szCs w:val="22"/>
        </w:rPr>
        <w:t xml:space="preserve"> Wi-Fi (co najmniej wersja 5 </w:t>
      </w:r>
      <w:proofErr w:type="spellStart"/>
      <w:r w:rsidRPr="32E6EDD3">
        <w:rPr>
          <w:rFonts w:ascii="Calibri" w:hAnsi="Calibri" w:cs="Calibri"/>
          <w:sz w:val="22"/>
          <w:szCs w:val="22"/>
        </w:rPr>
        <w:t>ac</w:t>
      </w:r>
      <w:proofErr w:type="spellEnd"/>
      <w:r w:rsidRPr="32E6EDD3">
        <w:rPr>
          <w:rFonts w:ascii="Calibri" w:hAnsi="Calibri" w:cs="Calibri"/>
          <w:sz w:val="22"/>
          <w:szCs w:val="22"/>
        </w:rPr>
        <w:t>), Bluetooth (co najmniej wersja 5.0)</w:t>
      </w:r>
    </w:p>
    <w:p w14:paraId="465D0524" w14:textId="77777777" w:rsidR="00F03F6E" w:rsidRPr="00F03F6E" w:rsidRDefault="00F03F6E" w:rsidP="32E6EDD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32E6EDD3">
        <w:rPr>
          <w:rStyle w:val="Pogrubienie"/>
          <w:rFonts w:ascii="Calibri" w:eastAsiaTheme="majorEastAsia" w:hAnsi="Calibri" w:cs="Calibri"/>
          <w:sz w:val="22"/>
          <w:szCs w:val="22"/>
        </w:rPr>
        <w:t>Wydajność:</w:t>
      </w:r>
      <w:r w:rsidRPr="32E6EDD3">
        <w:rPr>
          <w:rFonts w:ascii="Calibri" w:hAnsi="Calibri" w:cs="Calibri"/>
          <w:sz w:val="22"/>
          <w:szCs w:val="22"/>
        </w:rPr>
        <w:t xml:space="preserve"> co najmniej 1200 punktów w teście </w:t>
      </w:r>
      <w:proofErr w:type="spellStart"/>
      <w:r w:rsidRPr="32E6EDD3">
        <w:rPr>
          <w:rFonts w:ascii="Calibri" w:hAnsi="Calibri" w:cs="Calibri"/>
          <w:sz w:val="22"/>
          <w:szCs w:val="22"/>
        </w:rPr>
        <w:t>benchmarkowym</w:t>
      </w:r>
      <w:proofErr w:type="spellEnd"/>
      <w:r w:rsidRPr="32E6ED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32E6EDD3">
        <w:rPr>
          <w:rFonts w:ascii="Calibri" w:hAnsi="Calibri" w:cs="Calibri"/>
          <w:sz w:val="22"/>
          <w:szCs w:val="22"/>
        </w:rPr>
        <w:t>CrossMark</w:t>
      </w:r>
      <w:proofErr w:type="spellEnd"/>
    </w:p>
    <w:p w14:paraId="799B026D" w14:textId="77777777" w:rsidR="00F03F6E" w:rsidRPr="00F03F6E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Bateria:</w:t>
      </w:r>
      <w:r w:rsidRPr="00F03F6E">
        <w:rPr>
          <w:rFonts w:ascii="Calibri" w:hAnsi="Calibri" w:cs="Calibri"/>
          <w:sz w:val="22"/>
          <w:szCs w:val="22"/>
        </w:rPr>
        <w:t> co najmniej 6 godzin pracy na baterii</w:t>
      </w:r>
    </w:p>
    <w:p w14:paraId="4AB91352" w14:textId="77777777" w:rsidR="00F03F6E" w:rsidRPr="00F03F6E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Klawiatura:</w:t>
      </w:r>
      <w:r w:rsidRPr="00F03F6E">
        <w:rPr>
          <w:rFonts w:ascii="Calibri" w:hAnsi="Calibri" w:cs="Calibri"/>
          <w:sz w:val="22"/>
          <w:szCs w:val="22"/>
        </w:rPr>
        <w:t> układ QWERTY</w:t>
      </w:r>
    </w:p>
    <w:p w14:paraId="39271711" w14:textId="77777777" w:rsidR="00F03F6E" w:rsidRPr="00F03F6E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Inne informacje:</w:t>
      </w:r>
      <w:r w:rsidRPr="00F03F6E">
        <w:rPr>
          <w:rFonts w:ascii="Calibri" w:hAnsi="Calibri" w:cs="Calibri"/>
          <w:sz w:val="22"/>
          <w:szCs w:val="22"/>
        </w:rPr>
        <w:t> głośniki stereo, wbudowana kamera i mikrofon,</w:t>
      </w:r>
    </w:p>
    <w:p w14:paraId="2BACBEB2" w14:textId="77777777" w:rsidR="00F03F6E" w:rsidRPr="00F03F6E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F03F6E">
        <w:rPr>
          <w:rStyle w:val="Pogrubienie"/>
          <w:rFonts w:ascii="Calibri" w:eastAsiaTheme="majorEastAsia" w:hAnsi="Calibri" w:cs="Calibri"/>
          <w:sz w:val="22"/>
          <w:szCs w:val="22"/>
        </w:rPr>
        <w:t>Data produkcji:</w:t>
      </w:r>
      <w:r w:rsidRPr="00F03F6E">
        <w:rPr>
          <w:rFonts w:ascii="Calibri" w:hAnsi="Calibri" w:cs="Calibri"/>
          <w:sz w:val="22"/>
          <w:szCs w:val="22"/>
        </w:rPr>
        <w:t> najwcześniej na 9 miesięcy przed zakupem</w:t>
      </w:r>
    </w:p>
    <w:p w14:paraId="2CB0E5CE" w14:textId="1A846901" w:rsidR="002E41CB" w:rsidRDefault="00F03F6E" w:rsidP="00817CFD">
      <w:pPr>
        <w:numPr>
          <w:ilvl w:val="0"/>
          <w:numId w:val="7"/>
        </w:numPr>
        <w:shd w:val="clear" w:color="auto" w:fill="FFFFFF"/>
        <w:spacing w:before="100" w:beforeAutospacing="1" w:after="240"/>
        <w:jc w:val="both"/>
        <w:rPr>
          <w:rFonts w:ascii="Calibri" w:hAnsi="Calibri" w:cs="Calibri"/>
          <w:sz w:val="22"/>
          <w:szCs w:val="22"/>
        </w:rPr>
      </w:pPr>
      <w:r w:rsidRPr="32E6EDD3">
        <w:rPr>
          <w:rStyle w:val="Pogrubienie"/>
          <w:rFonts w:ascii="Calibri" w:eastAsiaTheme="majorEastAsia" w:hAnsi="Calibri" w:cs="Calibri"/>
          <w:sz w:val="22"/>
          <w:szCs w:val="22"/>
        </w:rPr>
        <w:t>Gwarancja:</w:t>
      </w:r>
      <w:r w:rsidRPr="32E6EDD3">
        <w:rPr>
          <w:rFonts w:ascii="Calibri" w:hAnsi="Calibri" w:cs="Calibri"/>
          <w:sz w:val="22"/>
          <w:szCs w:val="22"/>
        </w:rPr>
        <w:t> na co najmniej 36 miesięcy</w:t>
      </w:r>
    </w:p>
    <w:p w14:paraId="5492FD43" w14:textId="51C037FF" w:rsidR="1A6CE380" w:rsidRDefault="1A6CE380" w:rsidP="32E6EDD3">
      <w:pPr>
        <w:shd w:val="clear" w:color="auto" w:fill="FFFFFF" w:themeFill="background1"/>
        <w:spacing w:beforeAutospacing="1" w:after="240" w:line="259" w:lineRule="auto"/>
        <w:jc w:val="both"/>
      </w:pPr>
      <w:r w:rsidRPr="32E6EDD3">
        <w:rPr>
          <w:rFonts w:ascii="Calibri" w:hAnsi="Calibri" w:cs="Calibri"/>
          <w:b/>
          <w:bCs/>
        </w:rPr>
        <w:t>W jaki sposób zrealizować bon?</w:t>
      </w:r>
    </w:p>
    <w:p w14:paraId="5B113FF8" w14:textId="40978381" w:rsidR="00817CFD" w:rsidRPr="00817CFD" w:rsidRDefault="00817CFD" w:rsidP="32E6EDD3">
      <w:pPr>
        <w:shd w:val="clear" w:color="auto" w:fill="FFFFFF" w:themeFill="background1"/>
        <w:spacing w:after="240"/>
        <w:jc w:val="both"/>
        <w:textAlignment w:val="baseline"/>
        <w:rPr>
          <w:rFonts w:ascii="Calibri" w:hAnsi="Calibri" w:cs="Calibri"/>
          <w:color w:val="1B1B1B"/>
        </w:rPr>
      </w:pPr>
      <w:r w:rsidRPr="32E6EDD3">
        <w:rPr>
          <w:rFonts w:ascii="Calibri" w:hAnsi="Calibri" w:cs="Calibri"/>
          <w:color w:val="1B1B1B"/>
        </w:rPr>
        <w:t>Sprzedawca, u którego nauczyciele chcą kupić laptopa, poprosi o kod, który pedagog otrzymał na maila. Po wpisaniu przez sprzedawcę kodu, nauczyciel otrzyma SMS z kolejnym kodem – do potwierdzenia płatności.</w:t>
      </w:r>
    </w:p>
    <w:p w14:paraId="12105E58" w14:textId="08BFF03C" w:rsidR="00A17CDA" w:rsidRPr="00F03F6E" w:rsidRDefault="00A17CDA" w:rsidP="32E6EDD3">
      <w:pPr>
        <w:shd w:val="clear" w:color="auto" w:fill="FFFFFF" w:themeFill="background1"/>
        <w:spacing w:after="240"/>
        <w:jc w:val="both"/>
        <w:textAlignment w:val="baseline"/>
        <w:rPr>
          <w:rFonts w:ascii="Calibri" w:hAnsi="Calibri" w:cs="Calibri"/>
          <w:b/>
          <w:bCs/>
          <w:color w:val="1B1B1B"/>
        </w:rPr>
      </w:pPr>
      <w:r w:rsidRPr="32E6EDD3">
        <w:rPr>
          <w:rFonts w:ascii="Calibri" w:hAnsi="Calibri" w:cs="Calibri"/>
          <w:b/>
          <w:bCs/>
          <w:color w:val="1B1B1B"/>
        </w:rPr>
        <w:t xml:space="preserve">Do kiedy nauczyciele mogą zrealizować </w:t>
      </w:r>
      <w:r w:rsidR="008B3C15" w:rsidRPr="32E6EDD3">
        <w:rPr>
          <w:rFonts w:ascii="Calibri" w:hAnsi="Calibri" w:cs="Calibri"/>
          <w:b/>
          <w:bCs/>
          <w:color w:val="1B1B1B"/>
        </w:rPr>
        <w:t>świadczenia</w:t>
      </w:r>
      <w:r w:rsidRPr="32E6EDD3">
        <w:rPr>
          <w:rFonts w:ascii="Calibri" w:hAnsi="Calibri" w:cs="Calibri"/>
          <w:b/>
          <w:bCs/>
          <w:color w:val="1B1B1B"/>
        </w:rPr>
        <w:t>?</w:t>
      </w:r>
    </w:p>
    <w:p w14:paraId="190015F6" w14:textId="14152A07" w:rsidR="00A17CDA" w:rsidRPr="00F03F6E" w:rsidRDefault="00A17CDA" w:rsidP="32E6EDD3">
      <w:pPr>
        <w:shd w:val="clear" w:color="auto" w:fill="FFFFFF" w:themeFill="background1"/>
        <w:spacing w:after="240"/>
        <w:jc w:val="both"/>
        <w:textAlignment w:val="baseline"/>
        <w:rPr>
          <w:rFonts w:ascii="Calibri" w:hAnsi="Calibri" w:cs="Calibri"/>
          <w:color w:val="1B1B1B"/>
        </w:rPr>
      </w:pPr>
      <w:r w:rsidRPr="32E6EDD3">
        <w:rPr>
          <w:rFonts w:ascii="Calibri" w:hAnsi="Calibri" w:cs="Calibri"/>
          <w:color w:val="1B1B1B"/>
        </w:rPr>
        <w:t>Bony na laptopy dla nauczycieli wygasają 31 grudnia 2025 roku. Wykorzystanie kodów jest możliwe w określonych punktach, wykorzystujących specjalny system teleinformatyczny, stworzony przez Ministerstwo Cyfryzacji.</w:t>
      </w:r>
    </w:p>
    <w:p w14:paraId="5687CC6F" w14:textId="466FF128" w:rsidR="00340112" w:rsidRPr="008B3C15" w:rsidRDefault="00A17CDA" w:rsidP="32E6EDD3">
      <w:pPr>
        <w:shd w:val="clear" w:color="auto" w:fill="FFFFFF" w:themeFill="background1"/>
        <w:spacing w:after="240"/>
        <w:jc w:val="both"/>
        <w:textAlignment w:val="baseline"/>
        <w:rPr>
          <w:rFonts w:ascii="Calibri" w:hAnsi="Calibri" w:cs="Calibri"/>
          <w:color w:val="1B1B1B"/>
        </w:rPr>
      </w:pPr>
      <w:r w:rsidRPr="32E6EDD3">
        <w:rPr>
          <w:rFonts w:ascii="Calibri" w:hAnsi="Calibri" w:cs="Calibri"/>
          <w:color w:val="1B1B1B"/>
        </w:rPr>
        <w:t xml:space="preserve">Więcej podstawowych informacji na temat programu można znaleźć pod </w:t>
      </w:r>
      <w:hyperlink r:id="rId6">
        <w:r w:rsidRPr="32E6EDD3">
          <w:rPr>
            <w:rStyle w:val="Hipercze"/>
            <w:rFonts w:ascii="Calibri" w:hAnsi="Calibri" w:cs="Calibri"/>
          </w:rPr>
          <w:t>tym linkiem</w:t>
        </w:r>
      </w:hyperlink>
      <w:r w:rsidR="00817CFD" w:rsidRPr="32E6EDD3">
        <w:rPr>
          <w:rFonts w:ascii="Calibri" w:hAnsi="Calibri" w:cs="Calibri"/>
          <w:color w:val="1B1B1B"/>
        </w:rPr>
        <w:t>. S</w:t>
      </w:r>
      <w:r w:rsidRPr="32E6EDD3">
        <w:rPr>
          <w:rFonts w:ascii="Calibri" w:hAnsi="Calibri" w:cs="Calibri"/>
          <w:color w:val="1B1B1B"/>
        </w:rPr>
        <w:t xml:space="preserve">zczegółowe </w:t>
      </w:r>
      <w:r w:rsidR="00817CFD" w:rsidRPr="32E6EDD3">
        <w:rPr>
          <w:rFonts w:ascii="Calibri" w:hAnsi="Calibri" w:cs="Calibri"/>
          <w:color w:val="1B1B1B"/>
        </w:rPr>
        <w:t>– np</w:t>
      </w:r>
      <w:r w:rsidRPr="32E6EDD3">
        <w:rPr>
          <w:rFonts w:ascii="Calibri" w:hAnsi="Calibri" w:cs="Calibri"/>
          <w:color w:val="1B1B1B"/>
        </w:rPr>
        <w:t xml:space="preserve">. </w:t>
      </w:r>
      <w:hyperlink r:id="rId7">
        <w:r w:rsidRPr="32E6EDD3">
          <w:rPr>
            <w:rStyle w:val="Hipercze"/>
            <w:rFonts w:ascii="Calibri" w:hAnsi="Calibri" w:cs="Calibri"/>
          </w:rPr>
          <w:t>tutaj</w:t>
        </w:r>
      </w:hyperlink>
      <w:r w:rsidRPr="32E6EDD3">
        <w:rPr>
          <w:rFonts w:ascii="Calibri" w:hAnsi="Calibri" w:cs="Calibri"/>
          <w:color w:val="1B1B1B"/>
        </w:rPr>
        <w:t xml:space="preserve">. Natomiast listę sklepów, które zgłosiły się do programu, pod </w:t>
      </w:r>
      <w:hyperlink r:id="rId8">
        <w:r w:rsidRPr="32E6EDD3">
          <w:rPr>
            <w:rStyle w:val="Hipercze"/>
            <w:rFonts w:ascii="Calibri" w:hAnsi="Calibri" w:cs="Calibri"/>
          </w:rPr>
          <w:t>tym linkiem</w:t>
        </w:r>
      </w:hyperlink>
      <w:r w:rsidRPr="32E6EDD3">
        <w:rPr>
          <w:rFonts w:ascii="Calibri" w:hAnsi="Calibri" w:cs="Calibri"/>
          <w:color w:val="1B1B1B"/>
        </w:rPr>
        <w:t>.</w:t>
      </w:r>
    </w:p>
    <w:p w14:paraId="2207C912" w14:textId="77777777" w:rsidR="00BD353A" w:rsidRPr="00B43416" w:rsidRDefault="00BD353A" w:rsidP="00BD353A">
      <w:pPr>
        <w:shd w:val="clear" w:color="auto" w:fill="FFFFFF"/>
        <w:textAlignment w:val="baseline"/>
        <w:rPr>
          <w:rFonts w:ascii="Calibri" w:hAnsi="Calibri" w:cs="Calibri"/>
          <w:color w:val="1B1B1B"/>
        </w:rPr>
      </w:pPr>
    </w:p>
    <w:p w14:paraId="2C10F32A" w14:textId="77777777" w:rsidR="00BD353A" w:rsidRPr="00B43416" w:rsidRDefault="00BD353A" w:rsidP="00BD353A">
      <w:pPr>
        <w:shd w:val="clear" w:color="auto" w:fill="FFFFFF"/>
        <w:textAlignment w:val="baseline"/>
        <w:rPr>
          <w:rFonts w:ascii="Calibri" w:hAnsi="Calibri" w:cs="Calibri"/>
          <w:color w:val="1B1B1B"/>
        </w:rPr>
      </w:pPr>
    </w:p>
    <w:p w14:paraId="2E6498DB" w14:textId="77777777" w:rsidR="00BD353A" w:rsidRPr="00B43416" w:rsidRDefault="00BD353A" w:rsidP="00BD353A">
      <w:pPr>
        <w:shd w:val="clear" w:color="auto" w:fill="FFFFFF"/>
        <w:textAlignment w:val="baseline"/>
        <w:rPr>
          <w:rFonts w:ascii="Calibri" w:hAnsi="Calibri" w:cs="Calibri"/>
          <w:color w:val="1B1B1B"/>
        </w:rPr>
      </w:pPr>
    </w:p>
    <w:sectPr w:rsidR="00BD353A" w:rsidRPr="00B4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CA5FB0"/>
    <w:multiLevelType w:val="hybridMultilevel"/>
    <w:tmpl w:val="71CA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131A"/>
    <w:multiLevelType w:val="hybridMultilevel"/>
    <w:tmpl w:val="0954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8C8"/>
    <w:multiLevelType w:val="hybridMultilevel"/>
    <w:tmpl w:val="4FFA9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B4B1E"/>
    <w:multiLevelType w:val="multilevel"/>
    <w:tmpl w:val="21BE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9942E7"/>
    <w:multiLevelType w:val="hybridMultilevel"/>
    <w:tmpl w:val="4F365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320E5"/>
    <w:multiLevelType w:val="multilevel"/>
    <w:tmpl w:val="6D40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602396">
    <w:abstractNumId w:val="3"/>
  </w:num>
  <w:num w:numId="2" w16cid:durableId="851649494">
    <w:abstractNumId w:val="4"/>
  </w:num>
  <w:num w:numId="3" w16cid:durableId="499855374">
    <w:abstractNumId w:val="0"/>
  </w:num>
  <w:num w:numId="4" w16cid:durableId="1172724735">
    <w:abstractNumId w:val="2"/>
  </w:num>
  <w:num w:numId="5" w16cid:durableId="838542497">
    <w:abstractNumId w:val="5"/>
  </w:num>
  <w:num w:numId="6" w16cid:durableId="1549948163">
    <w:abstractNumId w:val="1"/>
  </w:num>
  <w:num w:numId="7" w16cid:durableId="1798988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EA"/>
    <w:rsid w:val="00046948"/>
    <w:rsid w:val="00113EA2"/>
    <w:rsid w:val="00185298"/>
    <w:rsid w:val="001D4420"/>
    <w:rsid w:val="00237B20"/>
    <w:rsid w:val="002D22EB"/>
    <w:rsid w:val="002E41CB"/>
    <w:rsid w:val="002E5C2A"/>
    <w:rsid w:val="00340112"/>
    <w:rsid w:val="003849A5"/>
    <w:rsid w:val="00442473"/>
    <w:rsid w:val="0050543A"/>
    <w:rsid w:val="00535EB5"/>
    <w:rsid w:val="005E5C9E"/>
    <w:rsid w:val="00630502"/>
    <w:rsid w:val="00817CFD"/>
    <w:rsid w:val="008B3C15"/>
    <w:rsid w:val="008B3E84"/>
    <w:rsid w:val="00A12C58"/>
    <w:rsid w:val="00A17CDA"/>
    <w:rsid w:val="00A93BEA"/>
    <w:rsid w:val="00B43416"/>
    <w:rsid w:val="00BD353A"/>
    <w:rsid w:val="00BE0AFD"/>
    <w:rsid w:val="00BF3E4A"/>
    <w:rsid w:val="00D62CDB"/>
    <w:rsid w:val="00DA1463"/>
    <w:rsid w:val="00DE604B"/>
    <w:rsid w:val="00EE2E07"/>
    <w:rsid w:val="00F03F6E"/>
    <w:rsid w:val="00F33E71"/>
    <w:rsid w:val="00F6624D"/>
    <w:rsid w:val="00FE285E"/>
    <w:rsid w:val="08A82126"/>
    <w:rsid w:val="1061F631"/>
    <w:rsid w:val="1080A1C5"/>
    <w:rsid w:val="16B37CCC"/>
    <w:rsid w:val="1A6CE380"/>
    <w:rsid w:val="32E6EDD3"/>
    <w:rsid w:val="372D0AAB"/>
    <w:rsid w:val="3D1763A4"/>
    <w:rsid w:val="437DFA08"/>
    <w:rsid w:val="465A0B8B"/>
    <w:rsid w:val="4A0C6029"/>
    <w:rsid w:val="4EFC3F4A"/>
    <w:rsid w:val="5F38702A"/>
    <w:rsid w:val="75083D25"/>
    <w:rsid w:val="789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8D428"/>
  <w15:chartTrackingRefBased/>
  <w15:docId w15:val="{0109B31F-A899-1744-859F-1930DFBD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F6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B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B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B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B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B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B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B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B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B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B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B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B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B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B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B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B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B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BE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93BE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11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40112"/>
    <w:rPr>
      <w:color w:val="96607D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3F6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03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topdlanauczyciela.gov.pl/wyszukiwar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mputronik.pl/informacje/bon-na-laptop-dla-nauczyciela-dla-kogo-dofinansow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ruszyl-program-laptop-dla-nauczyciela" TargetMode="External"/><Relationship Id="rId5" Type="http://schemas.openxmlformats.org/officeDocument/2006/relationships/hyperlink" Target="https://www.money.pl/gospodarka/michal-zulawinski/oto-regiony-z-najwyzszym-pkb-w-polsce-wschod-kraju-daleko-w-tyle-lider-jest-jeden-6954264376113664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 Sobczak</dc:creator>
  <cp:keywords/>
  <dc:description/>
  <cp:lastModifiedBy>Paweł  Sobczak</cp:lastModifiedBy>
  <cp:revision>12</cp:revision>
  <dcterms:created xsi:type="dcterms:W3CDTF">2024-01-29T14:07:00Z</dcterms:created>
  <dcterms:modified xsi:type="dcterms:W3CDTF">2024-02-20T09:51:00Z</dcterms:modified>
</cp:coreProperties>
</file>